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5D12" w14:textId="7335E3F1" w:rsidR="002833BE" w:rsidRDefault="005763B3" w:rsidP="00AF3052">
      <w:pPr>
        <w:pStyle w:val="Title"/>
      </w:pPr>
      <w:r w:rsidRPr="00491016">
        <w:rPr>
          <w:noProof/>
        </w:rPr>
        <mc:AlternateContent>
          <mc:Choice Requires="wps">
            <w:drawing>
              <wp:anchor distT="0" distB="0" distL="114300" distR="114300" simplePos="0" relativeHeight="251662336" behindDoc="0" locked="0" layoutInCell="1" allowOverlap="1" wp14:anchorId="2E41A760" wp14:editId="75768DEF">
                <wp:simplePos x="0" y="0"/>
                <wp:positionH relativeFrom="column">
                  <wp:posOffset>-685800</wp:posOffset>
                </wp:positionH>
                <wp:positionV relativeFrom="paragraph">
                  <wp:posOffset>-914400</wp:posOffset>
                </wp:positionV>
                <wp:extent cx="7772400" cy="982478"/>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982478"/>
                        </a:xfrm>
                        <a:prstGeom prst="rect">
                          <a:avLst/>
                        </a:prstGeom>
                        <a:noFill/>
                        <a:ln w="6350">
                          <a:noFill/>
                        </a:ln>
                      </wps:spPr>
                      <wps:txbx>
                        <w:txbxContent>
                          <w:p w14:paraId="7213CE37" w14:textId="77777777" w:rsidR="005763B3" w:rsidRDefault="00AF3052" w:rsidP="00AF3052">
                            <w:pPr>
                              <w:pStyle w:val="Headertitle"/>
                            </w:pPr>
                            <w:r w:rsidRPr="00AF3052">
                              <w:t xml:space="preserve">AHRQ Safety Program for Improving Surgical </w:t>
                            </w:r>
                          </w:p>
                          <w:p w14:paraId="361A7F8C" w14:textId="369AF773" w:rsidR="0068281D" w:rsidRPr="00AF3052" w:rsidRDefault="00AF3052" w:rsidP="00AF3052">
                            <w:pPr>
                              <w:pStyle w:val="Headertitle"/>
                            </w:pPr>
                            <w:r w:rsidRPr="00AF3052">
                              <w:t>Care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1A760" id="_x0000_t202" coordsize="21600,21600" o:spt="202" path="m,l,21600r21600,l21600,xe">
                <v:stroke joinstyle="miter"/>
                <v:path gradientshapeok="t" o:connecttype="rect"/>
              </v:shapetype>
              <v:shape id="Text Box 3" o:spid="_x0000_s1026" type="#_x0000_t202" style="position:absolute;margin-left:-54pt;margin-top:-1in;width:612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" filled="f" stroked="f" strokeweight=".5pt">
                <v:textbox>
                  <w:txbxContent>
                    <w:p w14:paraId="7213CE37" w14:textId="77777777" w:rsidR="005763B3" w:rsidRDefault="00AF3052" w:rsidP="00AF3052">
                      <w:pPr>
                        <w:pStyle w:val="Headertitle"/>
                      </w:pPr>
                      <w:r w:rsidRPr="00AF3052">
                        <w:t xml:space="preserve">AHRQ Safety Program for Improving Surgical </w:t>
                      </w:r>
                    </w:p>
                    <w:p w14:paraId="361A7F8C" w14:textId="369AF773" w:rsidR="0068281D" w:rsidRPr="00AF3052" w:rsidRDefault="00AF3052" w:rsidP="00AF3052">
                      <w:pPr>
                        <w:pStyle w:val="Headertitle"/>
                      </w:pPr>
                      <w:r w:rsidRPr="00AF3052">
                        <w:t>Care and Recovery</w:t>
                      </w:r>
                    </w:p>
                  </w:txbxContent>
                </v:textbox>
              </v:shape>
            </w:pict>
          </mc:Fallback>
        </mc:AlternateContent>
      </w:r>
      <w:r w:rsidR="00097CFF">
        <w:t>Oral Antibiotics</w:t>
      </w:r>
      <w:r w:rsidRPr="005763B3">
        <w:t xml:space="preserve"> </w:t>
      </w:r>
      <w:r>
        <w:t xml:space="preserve">and </w:t>
      </w:r>
      <w:r w:rsidRPr="005763B3">
        <w:t xml:space="preserve">Mechanical Bowel Prep </w:t>
      </w:r>
      <w:r w:rsidR="00097CFF">
        <w:t xml:space="preserve">for </w:t>
      </w:r>
      <w:r w:rsidR="00A020C4">
        <w:t xml:space="preserve">SSI Prevention </w:t>
      </w:r>
      <w:r w:rsidR="00CD1190">
        <w:t>for Colorectal Surgery</w:t>
      </w:r>
      <w:r w:rsidR="00097CFF">
        <w:t xml:space="preserve">: </w:t>
      </w:r>
      <w:r w:rsidR="00AF3052">
        <w:t>Facilitator Guide</w:t>
      </w:r>
      <w:r w:rsidR="00840BDE">
        <w:tab/>
      </w:r>
    </w:p>
    <w:tbl>
      <w:tblPr>
        <w:tblStyle w:val="TableGrid"/>
        <w:tblW w:w="10114" w:type="dxa"/>
        <w:tblLook w:val="04A0" w:firstRow="1" w:lastRow="0" w:firstColumn="1" w:lastColumn="0" w:noHBand="0" w:noVBand="1"/>
      </w:tblPr>
      <w:tblGrid>
        <w:gridCol w:w="6025"/>
        <w:gridCol w:w="4089"/>
      </w:tblGrid>
      <w:tr w:rsidR="007E4E48" w14:paraId="1E0F38B0" w14:textId="77777777" w:rsidTr="003B264F">
        <w:trPr>
          <w:cantSplit/>
          <w:trHeight w:val="382"/>
          <w:tblHeader/>
        </w:trPr>
        <w:tc>
          <w:tcPr>
            <w:tcW w:w="6025" w:type="dxa"/>
            <w:shd w:val="clear" w:color="auto" w:fill="auto"/>
            <w:vAlign w:val="center"/>
          </w:tcPr>
          <w:p w14:paraId="6EE9DB49" w14:textId="6A046F73" w:rsidR="00F14BBA" w:rsidRDefault="00F14BBA" w:rsidP="00F14BBA">
            <w:pPr>
              <w:pStyle w:val="TableParagraph"/>
            </w:pPr>
            <w:r w:rsidRPr="00BF331D">
              <w:rPr>
                <w:b/>
                <w:bCs/>
                <w:sz w:val="24"/>
                <w:szCs w:val="24"/>
              </w:rPr>
              <w:t>Slide Title and Commentary</w:t>
            </w:r>
          </w:p>
        </w:tc>
        <w:tc>
          <w:tcPr>
            <w:tcW w:w="4089" w:type="dxa"/>
            <w:shd w:val="clear" w:color="auto" w:fill="auto"/>
            <w:vAlign w:val="center"/>
          </w:tcPr>
          <w:p w14:paraId="1C8E66EC" w14:textId="4734828B" w:rsidR="00F14BBA" w:rsidRDefault="00F14BBA" w:rsidP="00F14BBA">
            <w:pPr>
              <w:pStyle w:val="TableParagraph"/>
            </w:pPr>
            <w:r w:rsidRPr="00BF331D">
              <w:rPr>
                <w:b/>
                <w:bCs/>
                <w:sz w:val="24"/>
                <w:szCs w:val="24"/>
              </w:rPr>
              <w:t>Slide Number and Slide</w:t>
            </w:r>
          </w:p>
        </w:tc>
      </w:tr>
      <w:tr w:rsidR="007E4E48" w14:paraId="5FB78C98" w14:textId="77777777" w:rsidTr="003B264F">
        <w:trPr>
          <w:cantSplit/>
          <w:trHeight w:val="2768"/>
        </w:trPr>
        <w:tc>
          <w:tcPr>
            <w:tcW w:w="6025" w:type="dxa"/>
          </w:tcPr>
          <w:p w14:paraId="6B15734F" w14:textId="77438BD4" w:rsidR="00F14BBA" w:rsidRPr="00550E76" w:rsidRDefault="00F14BBA" w:rsidP="00F14BBA">
            <w:pPr>
              <w:pStyle w:val="TableParagraph"/>
              <w:rPr>
                <w:b/>
              </w:rPr>
            </w:pPr>
            <w:r w:rsidRPr="00550E76">
              <w:rPr>
                <w:b/>
              </w:rPr>
              <w:t xml:space="preserve">Title slide: </w:t>
            </w:r>
            <w:r w:rsidR="00806265" w:rsidRPr="00806265">
              <w:rPr>
                <w:b/>
              </w:rPr>
              <w:t xml:space="preserve">Oral Antibiotics </w:t>
            </w:r>
            <w:r w:rsidR="005763B3">
              <w:rPr>
                <w:b/>
              </w:rPr>
              <w:t xml:space="preserve">and </w:t>
            </w:r>
            <w:r w:rsidR="005763B3" w:rsidRPr="005763B3">
              <w:rPr>
                <w:b/>
              </w:rPr>
              <w:t xml:space="preserve">Mechanical Bowel Prep </w:t>
            </w:r>
            <w:r w:rsidR="00806265" w:rsidRPr="00806265">
              <w:rPr>
                <w:b/>
              </w:rPr>
              <w:t xml:space="preserve">for </w:t>
            </w:r>
            <w:r w:rsidR="00A020C4">
              <w:rPr>
                <w:b/>
              </w:rPr>
              <w:t>SSI Prevention for Colorectal Surgery</w:t>
            </w:r>
          </w:p>
          <w:p w14:paraId="48FE8051" w14:textId="2CFA8A75" w:rsidR="00F14BBA" w:rsidRDefault="00F14BBA" w:rsidP="00CC1FB1">
            <w:pPr>
              <w:pStyle w:val="TableParagraph"/>
              <w:spacing w:after="120"/>
            </w:pPr>
            <w:r>
              <w:t>Hello</w:t>
            </w:r>
            <w:r w:rsidR="00054D56">
              <w:t>,</w:t>
            </w:r>
            <w:r>
              <w:t xml:space="preserve"> and thank you for joining me. </w:t>
            </w:r>
            <w:r w:rsidRPr="00F14BBA">
              <w:t xml:space="preserve">Today </w:t>
            </w:r>
            <w:r w:rsidR="00675A32" w:rsidRPr="00675A32">
              <w:t>I will provid</w:t>
            </w:r>
            <w:r w:rsidR="00D55008">
              <w:t xml:space="preserve">e </w:t>
            </w:r>
            <w:r w:rsidR="006B4E9D">
              <w:t xml:space="preserve">you with </w:t>
            </w:r>
            <w:r w:rsidR="00D55008">
              <w:t xml:space="preserve">an overview of the use of oral antibiotics and </w:t>
            </w:r>
            <w:r w:rsidR="00D55008" w:rsidRPr="00D55008">
              <w:t xml:space="preserve">mechanical bowel preparation </w:t>
            </w:r>
            <w:r w:rsidR="00D55008">
              <w:t>to help reduce surgical site infection</w:t>
            </w:r>
            <w:r w:rsidR="006B4E9D">
              <w:t>, SSI,</w:t>
            </w:r>
            <w:r w:rsidR="00D55008">
              <w:t xml:space="preserve"> in colorectal surgery. Th</w:t>
            </w:r>
            <w:r w:rsidR="00806265">
              <w:t xml:space="preserve">is practice is one component of the </w:t>
            </w:r>
            <w:r>
              <w:t>Agency for Healthcare Research and Quality</w:t>
            </w:r>
            <w:r w:rsidR="00806265">
              <w:t>’s S</w:t>
            </w:r>
            <w:r w:rsidRPr="00F14BBA">
              <w:t xml:space="preserve">afety </w:t>
            </w:r>
            <w:r w:rsidR="00806265">
              <w:t>P</w:t>
            </w:r>
            <w:r w:rsidRPr="00F14BBA">
              <w:t xml:space="preserve">rogram for </w:t>
            </w:r>
            <w:r w:rsidR="00806265">
              <w:t>I</w:t>
            </w:r>
            <w:r w:rsidRPr="00F14BBA">
              <w:t xml:space="preserve">mproving </w:t>
            </w:r>
            <w:r w:rsidR="00806265">
              <w:t>S</w:t>
            </w:r>
            <w:r w:rsidRPr="00F14BBA">
              <w:t xml:space="preserve">urgical </w:t>
            </w:r>
            <w:r w:rsidR="00806265">
              <w:t>C</w:t>
            </w:r>
            <w:r w:rsidRPr="00F14BBA">
              <w:t xml:space="preserve">are </w:t>
            </w:r>
            <w:r w:rsidR="00806265">
              <w:t>R</w:t>
            </w:r>
            <w:r w:rsidRPr="00F14BBA">
              <w:t>ecovery</w:t>
            </w:r>
            <w:r>
              <w:t>, or ISCR</w:t>
            </w:r>
            <w:r w:rsidR="00675A32">
              <w:t>.</w:t>
            </w:r>
            <w:r w:rsidR="00675A32" w:rsidRPr="00675A32">
              <w:t xml:space="preserve"> </w:t>
            </w:r>
            <w:r w:rsidR="00CA17A1">
              <w:t>We’ll review a bit of the history for a better understanding of our practices today.</w:t>
            </w:r>
          </w:p>
        </w:tc>
        <w:tc>
          <w:tcPr>
            <w:tcW w:w="4089" w:type="dxa"/>
          </w:tcPr>
          <w:p w14:paraId="760EB9D1" w14:textId="77777777" w:rsidR="00F14BBA" w:rsidRDefault="00F14BBA" w:rsidP="00F14BBA">
            <w:pPr>
              <w:pStyle w:val="TableParagraph"/>
              <w:rPr>
                <w:b/>
              </w:rPr>
            </w:pPr>
            <w:r w:rsidRPr="00C82D6D">
              <w:rPr>
                <w:b/>
              </w:rPr>
              <w:t>Slide 1</w:t>
            </w:r>
          </w:p>
          <w:p w14:paraId="668D8F19" w14:textId="3D4B8428" w:rsidR="007E4E48" w:rsidRPr="00C82D6D" w:rsidRDefault="007E4E48" w:rsidP="00CC1FB1">
            <w:pPr>
              <w:pStyle w:val="TableParagraph"/>
              <w:spacing w:after="120" w:line="240" w:lineRule="auto"/>
              <w:rPr>
                <w:b/>
              </w:rPr>
            </w:pPr>
            <w:r>
              <w:rPr>
                <w:noProof/>
              </w:rPr>
              <w:drawing>
                <wp:inline distT="0" distB="0" distL="0" distR="0" wp14:anchorId="1519C388" wp14:editId="6A3950BD">
                  <wp:extent cx="2286000" cy="1712459"/>
                  <wp:effectExtent l="0" t="0" r="0" b="2540"/>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pic:cNvPicPr/>
                        </pic:nvPicPr>
                        <pic:blipFill>
                          <a:blip r:embed="rId11"/>
                          <a:stretch>
                            <a:fillRect/>
                          </a:stretch>
                        </pic:blipFill>
                        <pic:spPr>
                          <a:xfrm>
                            <a:off x="0" y="0"/>
                            <a:ext cx="2286000" cy="1712459"/>
                          </a:xfrm>
                          <a:prstGeom prst="rect">
                            <a:avLst/>
                          </a:prstGeom>
                        </pic:spPr>
                      </pic:pic>
                    </a:graphicData>
                  </a:graphic>
                </wp:inline>
              </w:drawing>
            </w:r>
          </w:p>
        </w:tc>
      </w:tr>
      <w:tr w:rsidR="007E4E48" w14:paraId="1B462909" w14:textId="77777777" w:rsidTr="003B264F">
        <w:trPr>
          <w:cantSplit/>
          <w:trHeight w:val="5088"/>
        </w:trPr>
        <w:tc>
          <w:tcPr>
            <w:tcW w:w="6025" w:type="dxa"/>
          </w:tcPr>
          <w:p w14:paraId="193BEA59" w14:textId="7F8C641A" w:rsidR="00F14BBA" w:rsidRPr="00550E76" w:rsidRDefault="00CF2AE6" w:rsidP="00F14BBA">
            <w:pPr>
              <w:pStyle w:val="TableParagraph"/>
              <w:rPr>
                <w:b/>
              </w:rPr>
            </w:pPr>
            <w:r w:rsidRPr="00CF2AE6">
              <w:rPr>
                <w:b/>
              </w:rPr>
              <w:t>Antibiotic and Mechanical Bowel Prep in the 1970s</w:t>
            </w:r>
          </w:p>
          <w:p w14:paraId="31881F2A" w14:textId="77777777" w:rsidR="00550E76" w:rsidRDefault="00806265" w:rsidP="00F14BBA">
            <w:pPr>
              <w:pStyle w:val="TableParagraph"/>
            </w:pPr>
            <w:r w:rsidRPr="00806265">
              <w:t xml:space="preserve">The issue of mechanical bowel prep and oral antibiotics before scheduled colorectal procedure is one that has generated considerable confusion and misunderstanding among U.S. and Canadian surgeons.  </w:t>
            </w:r>
          </w:p>
          <w:p w14:paraId="5A9A92D8" w14:textId="0E4D2EA0" w:rsidR="00806265" w:rsidRDefault="00605B12" w:rsidP="00F14BBA">
            <w:pPr>
              <w:pStyle w:val="TableParagraph"/>
            </w:pPr>
            <w:r>
              <w:t>I</w:t>
            </w:r>
            <w:r w:rsidR="00806265" w:rsidRPr="00806265">
              <w:t>n the early 1970s</w:t>
            </w:r>
            <w:r w:rsidR="00B00C3F">
              <w:t>,</w:t>
            </w:r>
            <w:r w:rsidR="00806265" w:rsidRPr="00806265">
              <w:t xml:space="preserve"> it was assumed that all colon procedures should be preceded by mechanical cleansing of the bowel</w:t>
            </w:r>
            <w:r w:rsidR="00B00C3F">
              <w:t>,</w:t>
            </w:r>
            <w:r w:rsidR="00806265" w:rsidRPr="00806265">
              <w:t xml:space="preserve"> while oral antibiotics were not typically used.</w:t>
            </w:r>
          </w:p>
          <w:p w14:paraId="0F24E857" w14:textId="45A82A73" w:rsidR="00806265" w:rsidRDefault="00806265" w:rsidP="00F14BBA">
            <w:pPr>
              <w:pStyle w:val="TableParagraph"/>
            </w:pPr>
            <w:r w:rsidRPr="00806265">
              <w:t xml:space="preserve">However, a 1971 study by </w:t>
            </w:r>
            <w:r w:rsidR="000026B1">
              <w:t xml:space="preserve">Dr. </w:t>
            </w:r>
            <w:r w:rsidRPr="00806265">
              <w:t xml:space="preserve">Ron Nichols showed that mechanical bowel prep did not reduce the </w:t>
            </w:r>
            <w:r w:rsidR="00CA17A1">
              <w:t xml:space="preserve">quantity </w:t>
            </w:r>
            <w:r w:rsidRPr="00806265">
              <w:t>of bacteria found on the mucosa of the colon</w:t>
            </w:r>
            <w:r w:rsidR="00B00C3F">
              <w:t>.</w:t>
            </w:r>
            <w:r w:rsidR="00702959">
              <w:t xml:space="preserve"> </w:t>
            </w:r>
            <w:r w:rsidRPr="00806265">
              <w:t>Between 1974 and 1979</w:t>
            </w:r>
            <w:r w:rsidR="00B00C3F">
              <w:t>,</w:t>
            </w:r>
            <w:r w:rsidRPr="00806265">
              <w:t xml:space="preserve"> four high</w:t>
            </w:r>
            <w:r w:rsidR="00B00C3F">
              <w:t>-</w:t>
            </w:r>
            <w:r w:rsidRPr="00806265">
              <w:t>quality prospective randomized trials revealed statistically and clinically significant reduction in colorectal SSI when preoperative oral antibiotics were combined with mechanical bowel prep in the absence of intravenous</w:t>
            </w:r>
            <w:r w:rsidR="000026B1">
              <w:t xml:space="preserve"> antibiotic</w:t>
            </w:r>
            <w:r w:rsidRPr="00806265">
              <w:t xml:space="preserve"> prophylaxis.</w:t>
            </w:r>
          </w:p>
          <w:p w14:paraId="1F998D3F" w14:textId="5E637ED8" w:rsidR="00806265" w:rsidRDefault="00806265" w:rsidP="00CC1FB1">
            <w:pPr>
              <w:pStyle w:val="TableParagraph"/>
              <w:spacing w:after="120"/>
            </w:pPr>
            <w:r w:rsidRPr="00806265">
              <w:t xml:space="preserve">It was at this time </w:t>
            </w:r>
            <w:r w:rsidR="00B00C3F">
              <w:t xml:space="preserve">that </w:t>
            </w:r>
            <w:r w:rsidRPr="00806265">
              <w:t xml:space="preserve">many surgeons began providing both </w:t>
            </w:r>
            <w:r w:rsidR="002D6713">
              <w:t xml:space="preserve">bowel prep and oral antibiotics </w:t>
            </w:r>
            <w:r w:rsidRPr="00806265">
              <w:t>for their patients</w:t>
            </w:r>
            <w:r w:rsidR="00B00C3F">
              <w:t>.</w:t>
            </w:r>
            <w:r w:rsidRPr="00806265">
              <w:t xml:space="preserve">  </w:t>
            </w:r>
          </w:p>
        </w:tc>
        <w:tc>
          <w:tcPr>
            <w:tcW w:w="4089" w:type="dxa"/>
          </w:tcPr>
          <w:p w14:paraId="40D51E43" w14:textId="77777777" w:rsidR="00F14BBA" w:rsidRDefault="00F14BBA" w:rsidP="00F14BBA">
            <w:pPr>
              <w:pStyle w:val="TableParagraph"/>
              <w:rPr>
                <w:b/>
              </w:rPr>
            </w:pPr>
            <w:r w:rsidRPr="00C82D6D">
              <w:rPr>
                <w:b/>
              </w:rPr>
              <w:t>Slide 2</w:t>
            </w:r>
          </w:p>
          <w:p w14:paraId="782D1E96" w14:textId="64DEB14B" w:rsidR="007E4E48" w:rsidRDefault="007E4E48" w:rsidP="00CC1FB1">
            <w:pPr>
              <w:pStyle w:val="TableParagraph"/>
              <w:spacing w:after="120" w:line="240" w:lineRule="auto"/>
              <w:rPr>
                <w:b/>
              </w:rPr>
            </w:pPr>
            <w:r>
              <w:rPr>
                <w:noProof/>
              </w:rPr>
              <w:drawing>
                <wp:inline distT="0" distB="0" distL="0" distR="0" wp14:anchorId="4E446AE7" wp14:editId="02DDD67E">
                  <wp:extent cx="2286000" cy="1713139"/>
                  <wp:effectExtent l="0" t="0" r="0" b="1905"/>
                  <wp:docPr id="2" name="Picture 2"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2"/>
                          <pic:cNvPicPr/>
                        </pic:nvPicPr>
                        <pic:blipFill>
                          <a:blip r:embed="rId12"/>
                          <a:stretch>
                            <a:fillRect/>
                          </a:stretch>
                        </pic:blipFill>
                        <pic:spPr>
                          <a:xfrm>
                            <a:off x="0" y="0"/>
                            <a:ext cx="2286000" cy="1713139"/>
                          </a:xfrm>
                          <a:prstGeom prst="rect">
                            <a:avLst/>
                          </a:prstGeom>
                        </pic:spPr>
                      </pic:pic>
                    </a:graphicData>
                  </a:graphic>
                </wp:inline>
              </w:drawing>
            </w:r>
          </w:p>
          <w:p w14:paraId="60CC5E2F" w14:textId="4AF6C695" w:rsidR="007E4E48" w:rsidRPr="00C82D6D" w:rsidRDefault="007E4E48" w:rsidP="00F14BBA">
            <w:pPr>
              <w:pStyle w:val="TableParagraph"/>
              <w:rPr>
                <w:b/>
              </w:rPr>
            </w:pPr>
          </w:p>
        </w:tc>
      </w:tr>
      <w:tr w:rsidR="007E4E48" w14:paraId="3BC633C2" w14:textId="77777777" w:rsidTr="003B264F">
        <w:trPr>
          <w:cantSplit/>
          <w:trHeight w:val="2998"/>
        </w:trPr>
        <w:tc>
          <w:tcPr>
            <w:tcW w:w="6025" w:type="dxa"/>
          </w:tcPr>
          <w:p w14:paraId="77041966" w14:textId="7A36B7DF" w:rsidR="00FB0E6E" w:rsidRDefault="00CF2AE6" w:rsidP="00FB0E6E">
            <w:pPr>
              <w:pStyle w:val="TableParagraph"/>
              <w:rPr>
                <w:b/>
              </w:rPr>
            </w:pPr>
            <w:r w:rsidRPr="00CF2AE6">
              <w:rPr>
                <w:b/>
              </w:rPr>
              <w:lastRenderedPageBreak/>
              <w:t xml:space="preserve">Antibiotic and Mechanical Bowel Prep in the </w:t>
            </w:r>
            <w:r w:rsidR="00806265">
              <w:rPr>
                <w:b/>
              </w:rPr>
              <w:t>1980s</w:t>
            </w:r>
          </w:p>
          <w:p w14:paraId="6DA110B0" w14:textId="6494A655" w:rsidR="00550E76" w:rsidRDefault="00D566DB" w:rsidP="00CC1FB1">
            <w:pPr>
              <w:pStyle w:val="TableParagraph"/>
              <w:spacing w:after="120"/>
            </w:pPr>
            <w:r w:rsidRPr="00D566DB">
              <w:t>As expected, some surgeons wondered whether both</w:t>
            </w:r>
            <w:r w:rsidR="002F6437">
              <w:t xml:space="preserve"> oral and intravenous antibiotics</w:t>
            </w:r>
            <w:r w:rsidR="00B520B6">
              <w:t>, a widely used method of bowel prep,</w:t>
            </w:r>
            <w:r w:rsidRPr="00D566DB">
              <w:t xml:space="preserve"> were needed or whether one was superior to the other. This led to a seriously flawed study in England by a prominent colorectal surgeon who compared an effective intravenous prophylactic regimen with a flawed oral preoperative regimen and saw a significant difference favoring intravenous </w:t>
            </w:r>
            <w:r w:rsidR="00795342" w:rsidRPr="00D566DB">
              <w:t>prophylaxis</w:t>
            </w:r>
            <w:r w:rsidRPr="00D566DB">
              <w:t xml:space="preserve">. Following this, most surgeons in Europe </w:t>
            </w:r>
            <w:r w:rsidR="002F6437">
              <w:t>abandoned</w:t>
            </w:r>
            <w:r w:rsidRPr="00D566DB">
              <w:t xml:space="preserve"> preoperative oral antibiotic regimens</w:t>
            </w:r>
            <w:r w:rsidR="00A27BC5">
              <w:t>. U</w:t>
            </w:r>
            <w:r w:rsidR="004F7E47">
              <w:t xml:space="preserve">se of oral </w:t>
            </w:r>
            <w:r w:rsidR="00B520B6">
              <w:t>antibiotics</w:t>
            </w:r>
            <w:r w:rsidR="004F7E47">
              <w:t xml:space="preserve"> in the United States </w:t>
            </w:r>
            <w:r w:rsidR="00B520B6">
              <w:t>became</w:t>
            </w:r>
            <w:r w:rsidR="004F7E47">
              <w:t xml:space="preserve"> controversial</w:t>
            </w:r>
            <w:r w:rsidR="00B00C3F">
              <w:t>,</w:t>
            </w:r>
            <w:r w:rsidR="00A27BC5">
              <w:t xml:space="preserve"> and prophylactic guidelines were followed approximately half of the time</w:t>
            </w:r>
            <w:r w:rsidRPr="00D566DB">
              <w:t>.</w:t>
            </w:r>
          </w:p>
        </w:tc>
        <w:tc>
          <w:tcPr>
            <w:tcW w:w="4089" w:type="dxa"/>
          </w:tcPr>
          <w:p w14:paraId="2B8F4B13" w14:textId="77777777" w:rsidR="00F14BBA" w:rsidRDefault="00F14BBA" w:rsidP="00F14BBA">
            <w:pPr>
              <w:pStyle w:val="TableParagraph"/>
              <w:rPr>
                <w:b/>
              </w:rPr>
            </w:pPr>
            <w:r w:rsidRPr="00C82D6D">
              <w:rPr>
                <w:b/>
              </w:rPr>
              <w:t>Slide 3</w:t>
            </w:r>
          </w:p>
          <w:p w14:paraId="570A28A5" w14:textId="64D79F89" w:rsidR="007E4E48" w:rsidRPr="00C82D6D" w:rsidRDefault="007E4E48" w:rsidP="00CC1FB1">
            <w:pPr>
              <w:pStyle w:val="TableParagraph"/>
              <w:spacing w:after="120" w:line="240" w:lineRule="auto"/>
              <w:rPr>
                <w:b/>
              </w:rPr>
            </w:pPr>
            <w:r>
              <w:rPr>
                <w:noProof/>
              </w:rPr>
              <w:drawing>
                <wp:inline distT="0" distB="0" distL="0" distR="0" wp14:anchorId="3F104162" wp14:editId="528BEA10">
                  <wp:extent cx="2286000" cy="1716541"/>
                  <wp:effectExtent l="0" t="0" r="0" b="0"/>
                  <wp:docPr id="4" name="Picture 4"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3"/>
                          <pic:cNvPicPr/>
                        </pic:nvPicPr>
                        <pic:blipFill>
                          <a:blip r:embed="rId13"/>
                          <a:stretch>
                            <a:fillRect/>
                          </a:stretch>
                        </pic:blipFill>
                        <pic:spPr>
                          <a:xfrm>
                            <a:off x="0" y="0"/>
                            <a:ext cx="2286000" cy="1716541"/>
                          </a:xfrm>
                          <a:prstGeom prst="rect">
                            <a:avLst/>
                          </a:prstGeom>
                        </pic:spPr>
                      </pic:pic>
                    </a:graphicData>
                  </a:graphic>
                </wp:inline>
              </w:drawing>
            </w:r>
          </w:p>
        </w:tc>
      </w:tr>
      <w:tr w:rsidR="007E4E48" w14:paraId="2BFC4765" w14:textId="77777777" w:rsidTr="003B264F">
        <w:trPr>
          <w:cantSplit/>
          <w:trHeight w:val="2090"/>
        </w:trPr>
        <w:tc>
          <w:tcPr>
            <w:tcW w:w="6025" w:type="dxa"/>
          </w:tcPr>
          <w:p w14:paraId="1F9673C8" w14:textId="4652B7BE" w:rsidR="00FB0E6E" w:rsidRDefault="00CF2AE6" w:rsidP="00F14BBA">
            <w:pPr>
              <w:pStyle w:val="TableParagraph"/>
              <w:rPr>
                <w:b/>
              </w:rPr>
            </w:pPr>
            <w:r w:rsidRPr="00CF2AE6">
              <w:rPr>
                <w:b/>
              </w:rPr>
              <w:t xml:space="preserve">Antibiotic and Mechanical Bowel Prep in the </w:t>
            </w:r>
            <w:r w:rsidR="00806265">
              <w:rPr>
                <w:b/>
              </w:rPr>
              <w:t>1990s</w:t>
            </w:r>
          </w:p>
          <w:p w14:paraId="3DBC6FF2" w14:textId="51721336" w:rsidR="00D566DB" w:rsidRPr="00C52C8D" w:rsidRDefault="00D566DB" w:rsidP="00CC1FB1">
            <w:pPr>
              <w:pStyle w:val="TableParagraph"/>
              <w:spacing w:after="120"/>
            </w:pPr>
            <w:r w:rsidRPr="00D566DB">
              <w:t>Beginning in the 1990s</w:t>
            </w:r>
            <w:r w:rsidR="00B00C3F">
              <w:t>,</w:t>
            </w:r>
            <w:r w:rsidRPr="00D566DB">
              <w:t xml:space="preserve"> a number of studies were performed in Europe comparing preoperative mechanical bowel prep with no mechanical prep, with all patients getting intravenous prophylaxis and none getting oral antibiotics, and these trials, once again, showed no advantage for the mechanical prep</w:t>
            </w:r>
            <w:r w:rsidR="008F01C9">
              <w:t>.</w:t>
            </w:r>
            <w:r w:rsidRPr="001857FB">
              <w:rPr>
                <w:vertAlign w:val="superscript"/>
              </w:rPr>
              <w:t xml:space="preserve"> </w:t>
            </w:r>
            <w:r w:rsidR="00C52C8D">
              <w:t>Despite this, mechanical bowel prep remained the standard of care for patients undergoing elective colorectal surgery in the United States and Europe.</w:t>
            </w:r>
          </w:p>
        </w:tc>
        <w:tc>
          <w:tcPr>
            <w:tcW w:w="4089" w:type="dxa"/>
          </w:tcPr>
          <w:p w14:paraId="709FDD38" w14:textId="77777777" w:rsidR="00F14BBA" w:rsidRDefault="00F14BBA" w:rsidP="00F14BBA">
            <w:pPr>
              <w:pStyle w:val="TableParagraph"/>
              <w:rPr>
                <w:b/>
              </w:rPr>
            </w:pPr>
            <w:r w:rsidRPr="00C82D6D">
              <w:rPr>
                <w:b/>
              </w:rPr>
              <w:t>Slide 4</w:t>
            </w:r>
          </w:p>
          <w:p w14:paraId="011F61EC" w14:textId="1E1F448A" w:rsidR="007E4E48" w:rsidRPr="00C82D6D" w:rsidRDefault="007E4E48" w:rsidP="00CC1FB1">
            <w:pPr>
              <w:pStyle w:val="TableParagraph"/>
              <w:spacing w:after="120" w:line="240" w:lineRule="auto"/>
              <w:rPr>
                <w:b/>
              </w:rPr>
            </w:pPr>
            <w:r>
              <w:rPr>
                <w:noProof/>
              </w:rPr>
              <w:drawing>
                <wp:inline distT="0" distB="0" distL="0" distR="0" wp14:anchorId="30952113" wp14:editId="39BF4E8E">
                  <wp:extent cx="2286000" cy="1711778"/>
                  <wp:effectExtent l="0" t="0" r="0" b="3175"/>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
                          <pic:cNvPicPr/>
                        </pic:nvPicPr>
                        <pic:blipFill>
                          <a:blip r:embed="rId14"/>
                          <a:stretch>
                            <a:fillRect/>
                          </a:stretch>
                        </pic:blipFill>
                        <pic:spPr>
                          <a:xfrm>
                            <a:off x="0" y="0"/>
                            <a:ext cx="2286000" cy="1711778"/>
                          </a:xfrm>
                          <a:prstGeom prst="rect">
                            <a:avLst/>
                          </a:prstGeom>
                        </pic:spPr>
                      </pic:pic>
                    </a:graphicData>
                  </a:graphic>
                </wp:inline>
              </w:drawing>
            </w:r>
          </w:p>
        </w:tc>
      </w:tr>
      <w:tr w:rsidR="007E4E48" w14:paraId="3BFE74C1" w14:textId="77777777" w:rsidTr="003B264F">
        <w:trPr>
          <w:cantSplit/>
          <w:trHeight w:val="3654"/>
        </w:trPr>
        <w:tc>
          <w:tcPr>
            <w:tcW w:w="6025" w:type="dxa"/>
          </w:tcPr>
          <w:p w14:paraId="4B04FE7A" w14:textId="3E4EEE07" w:rsidR="00D566DB" w:rsidRPr="00D566DB" w:rsidRDefault="00CF2AE6" w:rsidP="00F14BBA">
            <w:pPr>
              <w:pStyle w:val="TableParagraph"/>
              <w:rPr>
                <w:b/>
              </w:rPr>
            </w:pPr>
            <w:r w:rsidRPr="00CF2AE6">
              <w:rPr>
                <w:b/>
              </w:rPr>
              <w:t xml:space="preserve">Antibiotic and Mechanical Bowel Prep in the </w:t>
            </w:r>
            <w:r w:rsidR="00D566DB" w:rsidRPr="00D566DB">
              <w:rPr>
                <w:b/>
              </w:rPr>
              <w:t>2000s</w:t>
            </w:r>
          </w:p>
          <w:p w14:paraId="4C96E47A" w14:textId="441A038F" w:rsidR="00D566DB" w:rsidRPr="00D566DB" w:rsidRDefault="00D566DB" w:rsidP="00CC1FB1">
            <w:pPr>
              <w:pStyle w:val="TableParagraph"/>
              <w:spacing w:after="120"/>
            </w:pPr>
            <w:r w:rsidRPr="00D566DB">
              <w:t xml:space="preserve">Subsequently, there have been a series of Cochrane Reviews confirming that mechanical bowel prep when administered with only intravenous prophylactic antibiotics does not reduce infectious </w:t>
            </w:r>
            <w:r w:rsidR="008F01C9" w:rsidRPr="00D566DB">
              <w:t>complications</w:t>
            </w:r>
            <w:r w:rsidRPr="00D566DB">
              <w:t xml:space="preserve">.  At the same time, a series of Cochrane Reviews by Nelson </w:t>
            </w:r>
            <w:r w:rsidR="00F210AB" w:rsidRPr="00B168E2">
              <w:t>et al</w:t>
            </w:r>
            <w:r w:rsidR="00B00C3F">
              <w:t>.</w:t>
            </w:r>
            <w:r w:rsidR="00F210AB">
              <w:t xml:space="preserve"> </w:t>
            </w:r>
            <w:r w:rsidRPr="00D566DB">
              <w:t xml:space="preserve">have shown that when </w:t>
            </w:r>
            <w:r w:rsidR="00E131A6">
              <w:t xml:space="preserve">you compare patients receiving </w:t>
            </w:r>
            <w:r w:rsidRPr="00D566DB">
              <w:t xml:space="preserve">mechanical bowel prep and intravenous prophylactic antibiotics </w:t>
            </w:r>
            <w:r w:rsidR="00B00C3F">
              <w:t>with</w:t>
            </w:r>
            <w:r w:rsidR="00E131A6">
              <w:t xml:space="preserve"> patients who </w:t>
            </w:r>
            <w:r w:rsidRPr="00D566DB">
              <w:t>are given preoperative oral antibiotics</w:t>
            </w:r>
            <w:r w:rsidR="00E131A6">
              <w:t>, mechanical bowel prep, and</w:t>
            </w:r>
            <w:r w:rsidRPr="00D566DB">
              <w:t xml:space="preserve"> </w:t>
            </w:r>
            <w:r w:rsidR="00E131A6" w:rsidRPr="00E131A6">
              <w:t>intravenous prophylactic antibiotics</w:t>
            </w:r>
            <w:r w:rsidR="00E131A6">
              <w:t xml:space="preserve">, </w:t>
            </w:r>
            <w:r w:rsidRPr="00D566DB">
              <w:t>the addition of oral antibiotics results in a predictable 50</w:t>
            </w:r>
            <w:r w:rsidR="00B00C3F">
              <w:t xml:space="preserve"> percent</w:t>
            </w:r>
            <w:r w:rsidRPr="00D566DB">
              <w:t xml:space="preserve"> reduction in </w:t>
            </w:r>
            <w:r w:rsidR="00535ECF">
              <w:t>surgical site infections</w:t>
            </w:r>
            <w:r w:rsidR="008F01C9" w:rsidRPr="00B168E2">
              <w:t>.</w:t>
            </w:r>
            <w:r w:rsidRPr="00D566DB">
              <w:t xml:space="preserve">  </w:t>
            </w:r>
          </w:p>
        </w:tc>
        <w:tc>
          <w:tcPr>
            <w:tcW w:w="4089" w:type="dxa"/>
          </w:tcPr>
          <w:p w14:paraId="49804FC8" w14:textId="77777777" w:rsidR="00D566DB" w:rsidRDefault="00CF2AE6" w:rsidP="00F14BBA">
            <w:pPr>
              <w:pStyle w:val="TableParagraph"/>
              <w:rPr>
                <w:b/>
              </w:rPr>
            </w:pPr>
            <w:r w:rsidRPr="00C82D6D">
              <w:rPr>
                <w:b/>
              </w:rPr>
              <w:t>Slide 5</w:t>
            </w:r>
          </w:p>
          <w:p w14:paraId="53C80897" w14:textId="132ED788" w:rsidR="007E4E48" w:rsidRPr="00C82D6D" w:rsidRDefault="007E4E48" w:rsidP="00CC1FB1">
            <w:pPr>
              <w:pStyle w:val="TableParagraph"/>
              <w:spacing w:after="120" w:line="240" w:lineRule="auto"/>
              <w:rPr>
                <w:b/>
              </w:rPr>
            </w:pPr>
            <w:r>
              <w:rPr>
                <w:noProof/>
              </w:rPr>
              <w:drawing>
                <wp:inline distT="0" distB="0" distL="0" distR="0" wp14:anchorId="070F3608" wp14:editId="7811F7E1">
                  <wp:extent cx="2286000" cy="1713139"/>
                  <wp:effectExtent l="0" t="0" r="0" b="1905"/>
                  <wp:docPr id="8" name="Picture 8"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5"/>
                          <pic:cNvPicPr/>
                        </pic:nvPicPr>
                        <pic:blipFill>
                          <a:blip r:embed="rId15"/>
                          <a:stretch>
                            <a:fillRect/>
                          </a:stretch>
                        </pic:blipFill>
                        <pic:spPr>
                          <a:xfrm>
                            <a:off x="0" y="0"/>
                            <a:ext cx="2286000" cy="1713139"/>
                          </a:xfrm>
                          <a:prstGeom prst="rect">
                            <a:avLst/>
                          </a:prstGeom>
                        </pic:spPr>
                      </pic:pic>
                    </a:graphicData>
                  </a:graphic>
                </wp:inline>
              </w:drawing>
            </w:r>
          </w:p>
        </w:tc>
      </w:tr>
      <w:tr w:rsidR="007E4E48" w14:paraId="234FAC5B" w14:textId="77777777" w:rsidTr="00912871">
        <w:trPr>
          <w:cantSplit/>
          <w:trHeight w:val="7056"/>
        </w:trPr>
        <w:tc>
          <w:tcPr>
            <w:tcW w:w="6025" w:type="dxa"/>
          </w:tcPr>
          <w:p w14:paraId="463D431A" w14:textId="0E48AFF3" w:rsidR="00F14BBA" w:rsidRPr="00550E76" w:rsidRDefault="00CF2AE6" w:rsidP="00F14BBA">
            <w:pPr>
              <w:pStyle w:val="TableParagraph"/>
              <w:rPr>
                <w:b/>
              </w:rPr>
            </w:pPr>
            <w:r w:rsidRPr="00CF2AE6">
              <w:rPr>
                <w:b/>
              </w:rPr>
              <w:lastRenderedPageBreak/>
              <w:t xml:space="preserve">Antibiotic and Mechanical Bowel Prep in the </w:t>
            </w:r>
            <w:r>
              <w:rPr>
                <w:b/>
              </w:rPr>
              <w:t>2010s</w:t>
            </w:r>
          </w:p>
          <w:p w14:paraId="1E57B204" w14:textId="0D975E28" w:rsidR="006B4E9D" w:rsidRDefault="00600BAA" w:rsidP="00806265">
            <w:pPr>
              <w:pStyle w:val="TableParagraph"/>
            </w:pPr>
            <w:r>
              <w:t>Between 2010 and 2020</w:t>
            </w:r>
            <w:r w:rsidR="00806265" w:rsidRPr="00806265">
              <w:t xml:space="preserve">, in the United States multiple observational studies employing very large databases with thousands of colorectal </w:t>
            </w:r>
            <w:r w:rsidR="001A1BE5">
              <w:t xml:space="preserve">surgical </w:t>
            </w:r>
            <w:r w:rsidR="00806265" w:rsidRPr="00806265">
              <w:t>patients and highly reliable data such as the Michigan Surgical Quality Collaborative</w:t>
            </w:r>
            <w:r w:rsidR="001857FB">
              <w:t>,</w:t>
            </w:r>
            <w:r w:rsidR="00806265" w:rsidRPr="00806265">
              <w:t xml:space="preserve"> the </w:t>
            </w:r>
            <w:r w:rsidR="00CA1C08" w:rsidRPr="00CA1C08">
              <w:t xml:space="preserve">Veterans Affairs Surgical Quality Improvement </w:t>
            </w:r>
            <w:r w:rsidR="008F01C9" w:rsidRPr="00CA1C08">
              <w:t>Progra</w:t>
            </w:r>
            <w:r w:rsidR="008F01C9">
              <w:t>m</w:t>
            </w:r>
            <w:r w:rsidR="00806265" w:rsidRPr="00806265">
              <w:t>, and N</w:t>
            </w:r>
            <w:r w:rsidR="00E131A6">
              <w:t xml:space="preserve">ational Surgical Quality Improvement </w:t>
            </w:r>
            <w:r w:rsidR="008F01C9">
              <w:t>Program</w:t>
            </w:r>
            <w:r w:rsidR="008F01C9" w:rsidRPr="00806265">
              <w:t xml:space="preserve"> </w:t>
            </w:r>
            <w:r w:rsidR="00806265" w:rsidRPr="00806265">
              <w:t xml:space="preserve">consistently demonstrated </w:t>
            </w:r>
            <w:r w:rsidR="00B94F62" w:rsidRPr="00B168E2">
              <w:t xml:space="preserve">roughly </w:t>
            </w:r>
            <w:r w:rsidR="00806265" w:rsidRPr="00B168E2">
              <w:t>50</w:t>
            </w:r>
            <w:r w:rsidR="00B00C3F">
              <w:t xml:space="preserve"> percent</w:t>
            </w:r>
            <w:r w:rsidR="00806265" w:rsidRPr="00B168E2">
              <w:t xml:space="preserve"> reduction</w:t>
            </w:r>
            <w:r w:rsidR="00B94F62" w:rsidRPr="00B168E2">
              <w:t>s</w:t>
            </w:r>
            <w:r w:rsidR="00806265" w:rsidRPr="00B168E2">
              <w:t xml:space="preserve"> in</w:t>
            </w:r>
            <w:r w:rsidR="00806265" w:rsidRPr="00806265">
              <w:t xml:space="preserve"> </w:t>
            </w:r>
            <w:r w:rsidR="00054D56">
              <w:t>SSIs</w:t>
            </w:r>
            <w:r w:rsidR="00806265" w:rsidRPr="00806265">
              <w:t xml:space="preserve"> when patients receiving oral antibiotics </w:t>
            </w:r>
            <w:r w:rsidR="00B00C3F">
              <w:t>were</w:t>
            </w:r>
            <w:r w:rsidR="00806265" w:rsidRPr="00806265">
              <w:t xml:space="preserve"> compared </w:t>
            </w:r>
            <w:r w:rsidR="00B00C3F">
              <w:t>with</w:t>
            </w:r>
            <w:r w:rsidR="00806265" w:rsidRPr="00806265">
              <w:t xml:space="preserve"> those without oral antibiotics.</w:t>
            </w:r>
            <w:r w:rsidR="008F01C9">
              <w:t xml:space="preserve"> </w:t>
            </w:r>
            <w:r w:rsidR="00806265" w:rsidRPr="00806265">
              <w:t xml:space="preserve">Another surprising fact to note in those reports is that up to </w:t>
            </w:r>
            <w:r w:rsidR="001C6475">
              <w:t>43</w:t>
            </w:r>
            <w:r w:rsidR="00B00C3F">
              <w:t xml:space="preserve"> percent</w:t>
            </w:r>
            <w:r w:rsidR="00806265" w:rsidRPr="00806265">
              <w:t xml:space="preserve"> of patients continue</w:t>
            </w:r>
            <w:r w:rsidR="00B00C3F">
              <w:t>d</w:t>
            </w:r>
            <w:r w:rsidR="00806265" w:rsidRPr="00806265">
              <w:t xml:space="preserve"> to receive a mechanical bowel prep without oral antibiotics</w:t>
            </w:r>
            <w:r w:rsidR="00672BEA">
              <w:t xml:space="preserve">. </w:t>
            </w:r>
            <w:r w:rsidR="00672BEA" w:rsidRPr="00B168E2">
              <w:t xml:space="preserve">This </w:t>
            </w:r>
            <w:r w:rsidR="00C07969" w:rsidRPr="00B168E2">
              <w:t xml:space="preserve">protocol </w:t>
            </w:r>
            <w:r w:rsidR="00672BEA" w:rsidRPr="00B168E2">
              <w:t>result</w:t>
            </w:r>
            <w:r w:rsidR="00B00C3F">
              <w:t>ed</w:t>
            </w:r>
            <w:r w:rsidR="00672BEA" w:rsidRPr="00B168E2">
              <w:t xml:space="preserve"> in </w:t>
            </w:r>
            <w:r w:rsidR="00054D56">
              <w:t>SSI</w:t>
            </w:r>
            <w:r w:rsidR="00672BEA" w:rsidRPr="00B168E2">
              <w:t xml:space="preserve"> rates </w:t>
            </w:r>
            <w:r w:rsidR="00EF336B" w:rsidRPr="00B168E2">
              <w:t>similar to having no bowel prep at all</w:t>
            </w:r>
            <w:r w:rsidR="00672BEA" w:rsidRPr="00B168E2">
              <w:t>.</w:t>
            </w:r>
            <w:r w:rsidR="00C07969">
              <w:t xml:space="preserve"> </w:t>
            </w:r>
          </w:p>
          <w:p w14:paraId="084BAB10" w14:textId="0277AD3E" w:rsidR="00550E76" w:rsidRDefault="00006257" w:rsidP="00CC1FB1">
            <w:pPr>
              <w:pStyle w:val="TableParagraph"/>
              <w:spacing w:after="120"/>
            </w:pPr>
            <w:r>
              <w:t>A</w:t>
            </w:r>
            <w:r w:rsidR="00562524">
              <w:t xml:space="preserve">nd finally, a 2018 meta-analysis from </w:t>
            </w:r>
            <w:proofErr w:type="spellStart"/>
            <w:r w:rsidR="00562524">
              <w:t>Toh</w:t>
            </w:r>
            <w:proofErr w:type="spellEnd"/>
            <w:r w:rsidR="00562524">
              <w:t xml:space="preserve"> and colleagues compared me</w:t>
            </w:r>
            <w:r w:rsidR="00806265" w:rsidRPr="00806265">
              <w:t>chanical bowel prep</w:t>
            </w:r>
            <w:r w:rsidR="00562524">
              <w:t xml:space="preserve"> and oral antibiotics </w:t>
            </w:r>
            <w:r w:rsidR="00B00C3F">
              <w:t>with</w:t>
            </w:r>
            <w:r w:rsidR="00562524">
              <w:t xml:space="preserve"> oral antibiotics</w:t>
            </w:r>
            <w:r w:rsidR="00562524" w:rsidRPr="00562524">
              <w:t xml:space="preserve"> alone, </w:t>
            </w:r>
            <w:r w:rsidR="00562524">
              <w:t xml:space="preserve">mechanical bowel prep </w:t>
            </w:r>
            <w:r w:rsidR="00562524" w:rsidRPr="00562524">
              <w:t>alone, or no preparation, all combined with intravenous antibiotic prophylaxis before incision</w:t>
            </w:r>
            <w:r w:rsidR="00806265" w:rsidRPr="00806265">
              <w:t>.</w:t>
            </w:r>
            <w:r w:rsidR="00562524">
              <w:t xml:space="preserve"> </w:t>
            </w:r>
            <w:r w:rsidR="003E6837">
              <w:t>Their findings add</w:t>
            </w:r>
            <w:r w:rsidR="00B00C3F">
              <w:t>ed</w:t>
            </w:r>
            <w:r w:rsidR="003E6837">
              <w:t xml:space="preserve"> to the evidence showing that mechanical bowel prep combined with oral antibiotics and </w:t>
            </w:r>
            <w:r w:rsidR="003E6837" w:rsidRPr="003E6837">
              <w:t>intravenous antibiotic prophylaxis before incision</w:t>
            </w:r>
            <w:r w:rsidR="00806265" w:rsidRPr="00806265">
              <w:t xml:space="preserve"> </w:t>
            </w:r>
            <w:r w:rsidR="003E6837">
              <w:t xml:space="preserve">is associated with the lowest risk of surgical site infection. </w:t>
            </w:r>
          </w:p>
        </w:tc>
        <w:tc>
          <w:tcPr>
            <w:tcW w:w="4089" w:type="dxa"/>
          </w:tcPr>
          <w:p w14:paraId="233D2C77" w14:textId="77777777" w:rsidR="00F14BBA" w:rsidRDefault="00F14BBA" w:rsidP="00F14BBA">
            <w:pPr>
              <w:pStyle w:val="TableParagraph"/>
              <w:rPr>
                <w:b/>
              </w:rPr>
            </w:pPr>
            <w:r w:rsidRPr="00C82D6D">
              <w:rPr>
                <w:b/>
              </w:rPr>
              <w:t xml:space="preserve">Slide </w:t>
            </w:r>
            <w:r w:rsidR="00CF2AE6" w:rsidRPr="00C82D6D">
              <w:rPr>
                <w:b/>
              </w:rPr>
              <w:t>6</w:t>
            </w:r>
          </w:p>
          <w:p w14:paraId="59EE3AB9" w14:textId="5D75EC76" w:rsidR="007E4E48" w:rsidRPr="00C82D6D" w:rsidRDefault="007E4E48" w:rsidP="00CC1FB1">
            <w:pPr>
              <w:pStyle w:val="TableParagraph"/>
              <w:spacing w:after="120" w:line="240" w:lineRule="auto"/>
              <w:rPr>
                <w:b/>
              </w:rPr>
            </w:pPr>
            <w:r>
              <w:rPr>
                <w:noProof/>
              </w:rPr>
              <w:drawing>
                <wp:inline distT="0" distB="0" distL="0" distR="0" wp14:anchorId="0FFD5618" wp14:editId="15A1391B">
                  <wp:extent cx="2286000" cy="1713140"/>
                  <wp:effectExtent l="0" t="0" r="0" b="1905"/>
                  <wp:docPr id="9" name="Picture 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6"/>
                          <pic:cNvPicPr/>
                        </pic:nvPicPr>
                        <pic:blipFill>
                          <a:blip r:embed="rId16"/>
                          <a:stretch>
                            <a:fillRect/>
                          </a:stretch>
                        </pic:blipFill>
                        <pic:spPr>
                          <a:xfrm>
                            <a:off x="0" y="0"/>
                            <a:ext cx="2286000" cy="1713140"/>
                          </a:xfrm>
                          <a:prstGeom prst="rect">
                            <a:avLst/>
                          </a:prstGeom>
                        </pic:spPr>
                      </pic:pic>
                    </a:graphicData>
                  </a:graphic>
                </wp:inline>
              </w:drawing>
            </w:r>
          </w:p>
        </w:tc>
      </w:tr>
      <w:tr w:rsidR="007E4E48" w14:paraId="38BDF732" w14:textId="77777777" w:rsidTr="00912871">
        <w:trPr>
          <w:cantSplit/>
          <w:trHeight w:val="7632"/>
        </w:trPr>
        <w:tc>
          <w:tcPr>
            <w:tcW w:w="6025" w:type="dxa"/>
          </w:tcPr>
          <w:p w14:paraId="48C186C5" w14:textId="1D80867A" w:rsidR="00CF2AE6" w:rsidRPr="00D9437A" w:rsidRDefault="00CF2AE6" w:rsidP="00F14BBA">
            <w:pPr>
              <w:pStyle w:val="TableParagraph"/>
              <w:rPr>
                <w:b/>
                <w:bCs/>
              </w:rPr>
            </w:pPr>
            <w:r w:rsidRPr="00D9437A">
              <w:rPr>
                <w:b/>
                <w:bCs/>
              </w:rPr>
              <w:lastRenderedPageBreak/>
              <w:t>Current ISCR Recommendation and Guidelines</w:t>
            </w:r>
          </w:p>
          <w:p w14:paraId="161595C4" w14:textId="30D96E2D" w:rsidR="00FC7082" w:rsidRPr="00C07969" w:rsidRDefault="00782D7A" w:rsidP="00F14BBA">
            <w:pPr>
              <w:pStyle w:val="TableParagraph"/>
              <w:rPr>
                <w:vertAlign w:val="superscript"/>
              </w:rPr>
            </w:pPr>
            <w:r>
              <w:t xml:space="preserve">To reduce surgical site infections in </w:t>
            </w:r>
            <w:r w:rsidRPr="00782D7A">
              <w:t>patients undergoing colorectal or gynecologic procedures with a planned bowel resection</w:t>
            </w:r>
            <w:r>
              <w:t>, the ISCR program</w:t>
            </w:r>
            <w:r w:rsidR="00072151" w:rsidRPr="00C07969">
              <w:t xml:space="preserve"> s</w:t>
            </w:r>
            <w:r w:rsidR="00C1500D" w:rsidRPr="00C07969">
              <w:t>upport</w:t>
            </w:r>
            <w:r>
              <w:t>s</w:t>
            </w:r>
            <w:r w:rsidR="00C1500D" w:rsidRPr="00C07969">
              <w:t xml:space="preserve"> </w:t>
            </w:r>
            <w:r w:rsidR="00072151" w:rsidRPr="00C07969">
              <w:t>an approach that combines mechanical bowel preparation with oral antibiotics</w:t>
            </w:r>
            <w:r>
              <w:t>.</w:t>
            </w:r>
            <w:r w:rsidR="00072151" w:rsidRPr="00C07969">
              <w:t xml:space="preserve"> </w:t>
            </w:r>
          </w:p>
          <w:p w14:paraId="2D9C6649" w14:textId="20647C6E" w:rsidR="00FC7082" w:rsidRPr="00B168E2" w:rsidRDefault="00FC7082" w:rsidP="00F14BBA">
            <w:pPr>
              <w:pStyle w:val="TableParagraph"/>
            </w:pPr>
            <w:r w:rsidRPr="00D94FF6">
              <w:t>Evidence-</w:t>
            </w:r>
            <w:r w:rsidRPr="00B168E2">
              <w:t xml:space="preserve">based guidelines </w:t>
            </w:r>
            <w:r w:rsidR="00916D1F" w:rsidRPr="00B168E2">
              <w:t xml:space="preserve">published in </w:t>
            </w:r>
            <w:r w:rsidR="009066C5" w:rsidRPr="00B168E2">
              <w:t>2017</w:t>
            </w:r>
            <w:r w:rsidR="00916D1F" w:rsidRPr="00B168E2">
              <w:t xml:space="preserve"> and </w:t>
            </w:r>
            <w:r w:rsidR="009066C5" w:rsidRPr="00B168E2">
              <w:t>2019</w:t>
            </w:r>
            <w:r w:rsidR="00916D1F" w:rsidRPr="00B168E2">
              <w:t xml:space="preserve"> have </w:t>
            </w:r>
            <w:r w:rsidRPr="00B168E2">
              <w:t xml:space="preserve">more information about </w:t>
            </w:r>
            <w:r w:rsidR="00600BAA" w:rsidRPr="00B168E2">
              <w:t xml:space="preserve">mechanical bowel preparation and oral antibiotics </w:t>
            </w:r>
            <w:r w:rsidRPr="00B168E2">
              <w:t xml:space="preserve">protocols </w:t>
            </w:r>
            <w:r w:rsidR="00916D1F" w:rsidRPr="00B168E2">
              <w:t xml:space="preserve">and </w:t>
            </w:r>
            <w:r w:rsidRPr="00B168E2">
              <w:t>can be found at the two websites</w:t>
            </w:r>
            <w:r w:rsidR="00502FD7">
              <w:t xml:space="preserve"> listed on the slide</w:t>
            </w:r>
            <w:r w:rsidRPr="00B168E2">
              <w:t>.</w:t>
            </w:r>
            <w:r w:rsidR="00502FD7">
              <w:t xml:space="preserve"> Citations are listed on the References slides.</w:t>
            </w:r>
            <w:r w:rsidRPr="00B168E2">
              <w:t xml:space="preserve"> </w:t>
            </w:r>
          </w:p>
          <w:p w14:paraId="16DB1488" w14:textId="4A0657C2" w:rsidR="00FC7082" w:rsidRPr="00C07969" w:rsidRDefault="00FC7082" w:rsidP="00F14BBA">
            <w:pPr>
              <w:pStyle w:val="TableParagraph"/>
            </w:pPr>
            <w:r w:rsidRPr="00B168E2">
              <w:t>The first is</w:t>
            </w:r>
            <w:r w:rsidR="00916D1F" w:rsidRPr="00B168E2">
              <w:t xml:space="preserve"> from</w:t>
            </w:r>
            <w:r w:rsidRPr="00B168E2">
              <w:t xml:space="preserve"> the</w:t>
            </w:r>
            <w:r w:rsidRPr="00C07969">
              <w:t xml:space="preserve"> Centers for Disease Control and Prevention’s Healthcare Infection Control Practices Advisory Committee, or HICPAC.</w:t>
            </w:r>
          </w:p>
          <w:p w14:paraId="666BD9A6" w14:textId="242F5017" w:rsidR="00FC7082" w:rsidRPr="00C07969" w:rsidRDefault="00FC7082" w:rsidP="00F14BBA">
            <w:pPr>
              <w:pStyle w:val="TableParagraph"/>
            </w:pPr>
            <w:r w:rsidRPr="00D94FF6">
              <w:t>The second is from the American Society of Colon and Rectal Surgeons</w:t>
            </w:r>
            <w:r w:rsidR="008F01C9" w:rsidRPr="00B168E2">
              <w:t>.</w:t>
            </w:r>
            <w:r w:rsidR="00A56128">
              <w:t xml:space="preserve"> This link will take you to the landing page for </w:t>
            </w:r>
            <w:r w:rsidR="00054D56">
              <w:t>its</w:t>
            </w:r>
            <w:r w:rsidR="00A56128">
              <w:t xml:space="preserve"> Clinical Practice Guidelines, where you can find </w:t>
            </w:r>
            <w:r w:rsidR="00054D56">
              <w:t>its</w:t>
            </w:r>
            <w:r w:rsidR="00A56128">
              <w:t xml:space="preserve"> 2019 guidelines for the use of bowel preparation in elective colorectal surgery. Updates will be added to this main landing page.</w:t>
            </w:r>
          </w:p>
          <w:p w14:paraId="498DC8D3" w14:textId="5FDD2599" w:rsidR="00072151" w:rsidRPr="00D94FF6" w:rsidRDefault="00CE7F64" w:rsidP="00CC1FB1">
            <w:pPr>
              <w:pStyle w:val="TableParagraph"/>
              <w:spacing w:after="120"/>
            </w:pPr>
            <w:r w:rsidRPr="00C07969">
              <w:t>These recommendations and guidelines are intended to be adapted</w:t>
            </w:r>
            <w:r w:rsidRPr="00D94FF6">
              <w:t xml:space="preserve"> locally based on collective review by stakeholders</w:t>
            </w:r>
            <w:r w:rsidRPr="00C07969">
              <w:t xml:space="preserve"> including surgeons, nurses, pharmacists, </w:t>
            </w:r>
            <w:r w:rsidRPr="00B168E2">
              <w:t>a</w:t>
            </w:r>
            <w:r w:rsidR="00916D1F" w:rsidRPr="00B168E2">
              <w:t>nd</w:t>
            </w:r>
            <w:r w:rsidRPr="00C07969">
              <w:t xml:space="preserve"> other healthcare providers. </w:t>
            </w:r>
          </w:p>
        </w:tc>
        <w:tc>
          <w:tcPr>
            <w:tcW w:w="4089" w:type="dxa"/>
          </w:tcPr>
          <w:p w14:paraId="3BD6E102" w14:textId="77777777" w:rsidR="00535ECF" w:rsidRDefault="00CF2AE6" w:rsidP="00F14BBA">
            <w:pPr>
              <w:pStyle w:val="TableParagraph"/>
              <w:rPr>
                <w:b/>
              </w:rPr>
            </w:pPr>
            <w:r w:rsidRPr="00C82D6D">
              <w:rPr>
                <w:b/>
              </w:rPr>
              <w:t>Slide 7</w:t>
            </w:r>
          </w:p>
          <w:p w14:paraId="5F5E1E51" w14:textId="666808F2" w:rsidR="007E4E48" w:rsidRPr="00C82D6D" w:rsidRDefault="007E4E48" w:rsidP="00CC1FB1">
            <w:pPr>
              <w:pStyle w:val="TableParagraph"/>
              <w:spacing w:after="120" w:line="240" w:lineRule="auto"/>
              <w:rPr>
                <w:b/>
              </w:rPr>
            </w:pPr>
            <w:r>
              <w:rPr>
                <w:noProof/>
              </w:rPr>
              <w:drawing>
                <wp:inline distT="0" distB="0" distL="0" distR="0" wp14:anchorId="402C260C" wp14:editId="336381DC">
                  <wp:extent cx="2286000" cy="1718582"/>
                  <wp:effectExtent l="0" t="0" r="0" b="0"/>
                  <wp:docPr id="10" name="Picture 1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7"/>
                          <pic:cNvPicPr/>
                        </pic:nvPicPr>
                        <pic:blipFill>
                          <a:blip r:embed="rId17"/>
                          <a:stretch>
                            <a:fillRect/>
                          </a:stretch>
                        </pic:blipFill>
                        <pic:spPr>
                          <a:xfrm>
                            <a:off x="0" y="0"/>
                            <a:ext cx="2286000" cy="1718582"/>
                          </a:xfrm>
                          <a:prstGeom prst="rect">
                            <a:avLst/>
                          </a:prstGeom>
                        </pic:spPr>
                      </pic:pic>
                    </a:graphicData>
                  </a:graphic>
                </wp:inline>
              </w:drawing>
            </w:r>
          </w:p>
        </w:tc>
      </w:tr>
      <w:tr w:rsidR="007E4E48" w14:paraId="0087564B" w14:textId="77777777" w:rsidTr="003B264F">
        <w:trPr>
          <w:cantSplit/>
          <w:trHeight w:val="1553"/>
        </w:trPr>
        <w:tc>
          <w:tcPr>
            <w:tcW w:w="6025" w:type="dxa"/>
          </w:tcPr>
          <w:p w14:paraId="0942E174" w14:textId="77777777" w:rsidR="00D94FF6" w:rsidRDefault="00D94FF6" w:rsidP="00CA0FE7">
            <w:pPr>
              <w:widowControl w:val="0"/>
              <w:autoSpaceDE w:val="0"/>
              <w:autoSpaceDN w:val="0"/>
              <w:rPr>
                <w:rFonts w:ascii="Calibri" w:eastAsia="Calibri" w:hAnsi="Calibri" w:cs="Calibri"/>
                <w:b/>
                <w:bCs/>
                <w:lang w:bidi="en-US"/>
              </w:rPr>
            </w:pPr>
            <w:r>
              <w:rPr>
                <w:rFonts w:ascii="Calibri" w:eastAsia="Calibri" w:hAnsi="Calibri" w:cs="Calibri"/>
                <w:b/>
                <w:bCs/>
                <w:lang w:bidi="en-US"/>
              </w:rPr>
              <w:lastRenderedPageBreak/>
              <w:t xml:space="preserve">Ongoing Studies </w:t>
            </w:r>
            <w:proofErr w:type="gramStart"/>
            <w:r>
              <w:rPr>
                <w:rFonts w:ascii="Calibri" w:eastAsia="Calibri" w:hAnsi="Calibri" w:cs="Calibri"/>
                <w:b/>
                <w:bCs/>
                <w:lang w:bidi="en-US"/>
              </w:rPr>
              <w:t>To</w:t>
            </w:r>
            <w:proofErr w:type="gramEnd"/>
            <w:r>
              <w:rPr>
                <w:rFonts w:ascii="Calibri" w:eastAsia="Calibri" w:hAnsi="Calibri" w:cs="Calibri"/>
                <w:b/>
                <w:bCs/>
                <w:lang w:bidi="en-US"/>
              </w:rPr>
              <w:t xml:space="preserve"> Watch</w:t>
            </w:r>
          </w:p>
          <w:p w14:paraId="79D2AF16" w14:textId="47A30598" w:rsidR="001C46AC" w:rsidRDefault="001C46AC" w:rsidP="00CA0FE7">
            <w:pPr>
              <w:widowControl w:val="0"/>
              <w:autoSpaceDE w:val="0"/>
              <w:autoSpaceDN w:val="0"/>
              <w:rPr>
                <w:rFonts w:ascii="Calibri" w:eastAsia="Calibri" w:hAnsi="Calibri" w:cs="Calibri"/>
                <w:bCs/>
                <w:lang w:bidi="en-US"/>
              </w:rPr>
            </w:pPr>
            <w:r w:rsidRPr="00B168E2">
              <w:rPr>
                <w:rFonts w:ascii="Calibri" w:eastAsia="Calibri" w:hAnsi="Calibri" w:cs="Calibri"/>
                <w:bCs/>
                <w:lang w:bidi="en-US"/>
              </w:rPr>
              <w:t xml:space="preserve">There are ongoing studies </w:t>
            </w:r>
            <w:r w:rsidR="004C50B2">
              <w:rPr>
                <w:rFonts w:ascii="Calibri" w:eastAsia="Calibri" w:hAnsi="Calibri" w:cs="Calibri"/>
                <w:bCs/>
                <w:lang w:bidi="en-US"/>
              </w:rPr>
              <w:t xml:space="preserve">to watch that </w:t>
            </w:r>
            <w:r w:rsidRPr="00B168E2">
              <w:rPr>
                <w:rFonts w:ascii="Calibri" w:eastAsia="Calibri" w:hAnsi="Calibri" w:cs="Calibri"/>
                <w:bCs/>
                <w:lang w:bidi="en-US"/>
              </w:rPr>
              <w:t xml:space="preserve">may reinforce or </w:t>
            </w:r>
            <w:r w:rsidR="004C50B2">
              <w:rPr>
                <w:rFonts w:ascii="Calibri" w:eastAsia="Calibri" w:hAnsi="Calibri" w:cs="Calibri"/>
                <w:bCs/>
                <w:lang w:bidi="en-US"/>
              </w:rPr>
              <w:t xml:space="preserve">result in changes to </w:t>
            </w:r>
            <w:r w:rsidRPr="00B168E2">
              <w:rPr>
                <w:rFonts w:ascii="Calibri" w:eastAsia="Calibri" w:hAnsi="Calibri" w:cs="Calibri"/>
                <w:bCs/>
                <w:lang w:bidi="en-US"/>
              </w:rPr>
              <w:t xml:space="preserve">guidelines in the future. </w:t>
            </w:r>
          </w:p>
          <w:p w14:paraId="021409D8" w14:textId="6D81D769" w:rsidR="00775104" w:rsidRDefault="001C46AC" w:rsidP="00CA0FE7">
            <w:pPr>
              <w:widowControl w:val="0"/>
              <w:autoSpaceDE w:val="0"/>
              <w:autoSpaceDN w:val="0"/>
              <w:rPr>
                <w:rFonts w:ascii="Calibri" w:eastAsia="Calibri" w:hAnsi="Calibri" w:cs="Calibri"/>
                <w:bCs/>
                <w:lang w:bidi="en-US"/>
              </w:rPr>
            </w:pPr>
            <w:r w:rsidRPr="00B168E2">
              <w:rPr>
                <w:rFonts w:ascii="Calibri" w:eastAsia="Calibri" w:hAnsi="Calibri" w:cs="Calibri"/>
                <w:bCs/>
                <w:lang w:bidi="en-US"/>
              </w:rPr>
              <w:t xml:space="preserve">The first is </w:t>
            </w:r>
            <w:r>
              <w:rPr>
                <w:rFonts w:ascii="Calibri" w:eastAsia="Calibri" w:hAnsi="Calibri" w:cs="Calibri"/>
                <w:bCs/>
                <w:lang w:bidi="en-US"/>
              </w:rPr>
              <w:t xml:space="preserve">a </w:t>
            </w:r>
            <w:r w:rsidR="00B831DB" w:rsidRPr="00B831DB">
              <w:rPr>
                <w:rFonts w:ascii="Calibri" w:eastAsia="Calibri" w:hAnsi="Calibri" w:cs="Calibri"/>
                <w:bCs/>
                <w:lang w:bidi="en-US"/>
              </w:rPr>
              <w:t xml:space="preserve">randomized controlled trial </w:t>
            </w:r>
            <w:r w:rsidR="00B831DB">
              <w:rPr>
                <w:rFonts w:ascii="Calibri" w:eastAsia="Calibri" w:hAnsi="Calibri" w:cs="Calibri"/>
                <w:bCs/>
                <w:lang w:bidi="en-US"/>
              </w:rPr>
              <w:t xml:space="preserve">titled, </w:t>
            </w:r>
            <w:r w:rsidR="00B831DB" w:rsidRPr="00B831DB">
              <w:rPr>
                <w:rFonts w:ascii="Calibri" w:eastAsia="Calibri" w:hAnsi="Calibri" w:cs="Calibri"/>
                <w:bCs/>
                <w:lang w:bidi="en-US"/>
              </w:rPr>
              <w:t>Is Mechanical Bowel Preparation Necessary to Reduce Surgical Site Infection Following Colon Surgery</w:t>
            </w:r>
            <w:r w:rsidR="00296C19">
              <w:rPr>
                <w:rFonts w:ascii="Calibri" w:eastAsia="Calibri" w:hAnsi="Calibri" w:cs="Calibri"/>
                <w:bCs/>
                <w:lang w:bidi="en-US"/>
              </w:rPr>
              <w:t>?</w:t>
            </w:r>
            <w:r w:rsidR="00B831DB">
              <w:rPr>
                <w:rFonts w:ascii="Calibri" w:eastAsia="Calibri" w:hAnsi="Calibri" w:cs="Calibri"/>
                <w:bCs/>
                <w:lang w:bidi="en-US"/>
              </w:rPr>
              <w:t xml:space="preserve"> This study </w:t>
            </w:r>
            <w:r w:rsidR="00775104">
              <w:rPr>
                <w:rFonts w:ascii="Calibri" w:eastAsia="Calibri" w:hAnsi="Calibri" w:cs="Calibri"/>
                <w:bCs/>
                <w:lang w:bidi="en-US"/>
              </w:rPr>
              <w:t>compar</w:t>
            </w:r>
            <w:r w:rsidR="00B831DB">
              <w:rPr>
                <w:rFonts w:ascii="Calibri" w:eastAsia="Calibri" w:hAnsi="Calibri" w:cs="Calibri"/>
                <w:bCs/>
                <w:lang w:bidi="en-US"/>
              </w:rPr>
              <w:t>es</w:t>
            </w:r>
            <w:r w:rsidR="00775104">
              <w:rPr>
                <w:rFonts w:ascii="Calibri" w:eastAsia="Calibri" w:hAnsi="Calibri" w:cs="Calibri"/>
                <w:bCs/>
                <w:lang w:bidi="en-US"/>
              </w:rPr>
              <w:t xml:space="preserve"> </w:t>
            </w:r>
            <w:r w:rsidR="00054D56">
              <w:rPr>
                <w:rFonts w:ascii="Calibri" w:eastAsia="Calibri" w:hAnsi="Calibri" w:cs="Calibri"/>
                <w:bCs/>
                <w:lang w:bidi="en-US"/>
              </w:rPr>
              <w:t>SSI</w:t>
            </w:r>
            <w:r w:rsidR="00775104">
              <w:rPr>
                <w:rFonts w:ascii="Calibri" w:eastAsia="Calibri" w:hAnsi="Calibri" w:cs="Calibri"/>
                <w:bCs/>
                <w:lang w:bidi="en-US"/>
              </w:rPr>
              <w:t xml:space="preserve"> rates following colon surgery w</w:t>
            </w:r>
            <w:r w:rsidR="00B831DB">
              <w:rPr>
                <w:rFonts w:ascii="Calibri" w:eastAsia="Calibri" w:hAnsi="Calibri" w:cs="Calibri"/>
                <w:bCs/>
                <w:lang w:bidi="en-US"/>
              </w:rPr>
              <w:t>hen</w:t>
            </w:r>
            <w:r w:rsidR="00775104">
              <w:rPr>
                <w:rFonts w:ascii="Calibri" w:eastAsia="Calibri" w:hAnsi="Calibri" w:cs="Calibri"/>
                <w:bCs/>
                <w:lang w:bidi="en-US"/>
              </w:rPr>
              <w:t xml:space="preserve"> </w:t>
            </w:r>
            <w:r w:rsidR="00775104" w:rsidRPr="00775104">
              <w:rPr>
                <w:rFonts w:ascii="Calibri" w:eastAsia="Calibri" w:hAnsi="Calibri" w:cs="Calibri"/>
                <w:bCs/>
                <w:lang w:bidi="en-US"/>
              </w:rPr>
              <w:t>a combination of intravenous antibiotics, mechanical bowel preparation</w:t>
            </w:r>
            <w:r w:rsidR="00054D56">
              <w:rPr>
                <w:rFonts w:ascii="Calibri" w:eastAsia="Calibri" w:hAnsi="Calibri" w:cs="Calibri"/>
                <w:bCs/>
                <w:lang w:bidi="en-US"/>
              </w:rPr>
              <w:t>,</w:t>
            </w:r>
            <w:r w:rsidR="00775104" w:rsidRPr="00775104">
              <w:rPr>
                <w:rFonts w:ascii="Calibri" w:eastAsia="Calibri" w:hAnsi="Calibri" w:cs="Calibri"/>
                <w:bCs/>
                <w:lang w:bidi="en-US"/>
              </w:rPr>
              <w:t xml:space="preserve"> and oral antibiotics</w:t>
            </w:r>
            <w:r w:rsidR="00775104">
              <w:rPr>
                <w:rFonts w:ascii="Calibri" w:eastAsia="Calibri" w:hAnsi="Calibri" w:cs="Calibri"/>
                <w:bCs/>
                <w:lang w:bidi="en-US"/>
              </w:rPr>
              <w:t xml:space="preserve"> </w:t>
            </w:r>
            <w:r w:rsidR="00B831DB">
              <w:rPr>
                <w:rFonts w:ascii="Calibri" w:eastAsia="Calibri" w:hAnsi="Calibri" w:cs="Calibri"/>
                <w:bCs/>
                <w:lang w:bidi="en-US"/>
              </w:rPr>
              <w:t xml:space="preserve">is used </w:t>
            </w:r>
            <w:r w:rsidR="00775104">
              <w:rPr>
                <w:rFonts w:ascii="Calibri" w:eastAsia="Calibri" w:hAnsi="Calibri" w:cs="Calibri"/>
                <w:bCs/>
                <w:lang w:bidi="en-US"/>
              </w:rPr>
              <w:t xml:space="preserve">versus </w:t>
            </w:r>
            <w:r w:rsidR="00B831DB">
              <w:rPr>
                <w:rFonts w:ascii="Calibri" w:eastAsia="Calibri" w:hAnsi="Calibri" w:cs="Calibri"/>
                <w:bCs/>
                <w:lang w:bidi="en-US"/>
              </w:rPr>
              <w:t xml:space="preserve">the use of just </w:t>
            </w:r>
            <w:r w:rsidR="00B831DB" w:rsidRPr="00B831DB">
              <w:rPr>
                <w:rFonts w:ascii="Calibri" w:eastAsia="Calibri" w:hAnsi="Calibri" w:cs="Calibri"/>
                <w:bCs/>
                <w:lang w:bidi="en-US"/>
              </w:rPr>
              <w:t>intravenous antibiotics</w:t>
            </w:r>
            <w:r w:rsidR="00B831DB">
              <w:rPr>
                <w:rFonts w:ascii="Calibri" w:eastAsia="Calibri" w:hAnsi="Calibri" w:cs="Calibri"/>
                <w:bCs/>
                <w:lang w:bidi="en-US"/>
              </w:rPr>
              <w:t xml:space="preserve"> </w:t>
            </w:r>
            <w:r w:rsidR="00B831DB" w:rsidRPr="00B831DB">
              <w:rPr>
                <w:rFonts w:ascii="Calibri" w:eastAsia="Calibri" w:hAnsi="Calibri" w:cs="Calibri"/>
                <w:bCs/>
                <w:lang w:bidi="en-US"/>
              </w:rPr>
              <w:t>and oral antibiotics</w:t>
            </w:r>
            <w:r w:rsidR="00B831DB">
              <w:rPr>
                <w:rFonts w:ascii="Calibri" w:eastAsia="Calibri" w:hAnsi="Calibri" w:cs="Calibri"/>
                <w:bCs/>
                <w:lang w:bidi="en-US"/>
              </w:rPr>
              <w:t>, omitting mechanical bowl preparation. This study is expected to conclude in March 2026.</w:t>
            </w:r>
          </w:p>
          <w:p w14:paraId="6E1E81AF" w14:textId="72E7B770" w:rsidR="00795543" w:rsidRPr="00B168E2" w:rsidRDefault="00775104" w:rsidP="00CC1FB1">
            <w:pPr>
              <w:widowControl w:val="0"/>
              <w:autoSpaceDE w:val="0"/>
              <w:autoSpaceDN w:val="0"/>
              <w:spacing w:after="120"/>
              <w:rPr>
                <w:rFonts w:ascii="Calibri" w:eastAsia="Calibri" w:hAnsi="Calibri" w:cs="Calibri"/>
                <w:bCs/>
                <w:lang w:bidi="en-US"/>
              </w:rPr>
            </w:pPr>
            <w:r>
              <w:rPr>
                <w:rFonts w:ascii="Calibri" w:eastAsia="Calibri" w:hAnsi="Calibri" w:cs="Calibri"/>
                <w:bCs/>
                <w:lang w:bidi="en-US"/>
              </w:rPr>
              <w:t>The second is a</w:t>
            </w:r>
            <w:r w:rsidR="00B831DB">
              <w:rPr>
                <w:rFonts w:ascii="Calibri" w:eastAsia="Calibri" w:hAnsi="Calibri" w:cs="Calibri"/>
                <w:bCs/>
                <w:lang w:bidi="en-US"/>
              </w:rPr>
              <w:t xml:space="preserve">lso a randomized </w:t>
            </w:r>
            <w:r w:rsidR="001C46AC">
              <w:rPr>
                <w:rFonts w:ascii="Calibri" w:eastAsia="Calibri" w:hAnsi="Calibri" w:cs="Calibri"/>
                <w:bCs/>
                <w:lang w:bidi="en-US"/>
              </w:rPr>
              <w:t xml:space="preserve">controlled trial </w:t>
            </w:r>
            <w:r w:rsidR="00B831DB">
              <w:rPr>
                <w:rFonts w:ascii="Calibri" w:eastAsia="Calibri" w:hAnsi="Calibri" w:cs="Calibri"/>
                <w:bCs/>
                <w:lang w:bidi="en-US"/>
              </w:rPr>
              <w:t>titled</w:t>
            </w:r>
            <w:r w:rsidR="001C46AC">
              <w:rPr>
                <w:rFonts w:ascii="Calibri" w:eastAsia="Calibri" w:hAnsi="Calibri" w:cs="Calibri"/>
                <w:bCs/>
                <w:lang w:bidi="en-US"/>
              </w:rPr>
              <w:t xml:space="preserve"> </w:t>
            </w:r>
            <w:r w:rsidR="001C46AC" w:rsidRPr="001C46AC">
              <w:rPr>
                <w:rFonts w:ascii="Calibri" w:eastAsia="Calibri" w:hAnsi="Calibri" w:cs="Calibri"/>
                <w:bCs/>
                <w:lang w:bidi="en-US"/>
              </w:rPr>
              <w:t>Mechanical Bowel Preparation and Oral Antibiotics Versus Mechanical Bowel Preparation Only Prior Rectal Surgery</w:t>
            </w:r>
            <w:r w:rsidR="001C46AC">
              <w:rPr>
                <w:rFonts w:ascii="Calibri" w:eastAsia="Calibri" w:hAnsi="Calibri" w:cs="Calibri"/>
                <w:bCs/>
                <w:lang w:bidi="en-US"/>
              </w:rPr>
              <w:t xml:space="preserve">, or </w:t>
            </w:r>
            <w:r w:rsidR="001C46AC" w:rsidRPr="001C46AC">
              <w:rPr>
                <w:rFonts w:ascii="Calibri" w:eastAsia="Calibri" w:hAnsi="Calibri" w:cs="Calibri"/>
                <w:bCs/>
                <w:lang w:bidi="en-US"/>
              </w:rPr>
              <w:t>MOBILE2</w:t>
            </w:r>
            <w:r w:rsidR="001C46AC">
              <w:rPr>
                <w:rFonts w:ascii="Calibri" w:eastAsia="Calibri" w:hAnsi="Calibri" w:cs="Calibri"/>
                <w:bCs/>
                <w:lang w:bidi="en-US"/>
              </w:rPr>
              <w:t xml:space="preserve"> study. </w:t>
            </w:r>
            <w:r w:rsidR="00B831DB">
              <w:rPr>
                <w:rFonts w:ascii="Calibri" w:eastAsia="Calibri" w:hAnsi="Calibri" w:cs="Calibri"/>
                <w:bCs/>
                <w:lang w:bidi="en-US"/>
              </w:rPr>
              <w:t xml:space="preserve">This study </w:t>
            </w:r>
            <w:r w:rsidR="00B831DB" w:rsidRPr="00B831DB">
              <w:rPr>
                <w:rFonts w:ascii="Calibri" w:eastAsia="Calibri" w:hAnsi="Calibri" w:cs="Calibri"/>
                <w:bCs/>
                <w:lang w:bidi="en-US"/>
              </w:rPr>
              <w:t>compar</w:t>
            </w:r>
            <w:r w:rsidR="00B831DB">
              <w:rPr>
                <w:rFonts w:ascii="Calibri" w:eastAsia="Calibri" w:hAnsi="Calibri" w:cs="Calibri"/>
                <w:bCs/>
                <w:lang w:bidi="en-US"/>
              </w:rPr>
              <w:t xml:space="preserve">es </w:t>
            </w:r>
            <w:r w:rsidR="00B831DB" w:rsidRPr="00B831DB">
              <w:rPr>
                <w:rFonts w:ascii="Calibri" w:eastAsia="Calibri" w:hAnsi="Calibri" w:cs="Calibri"/>
                <w:bCs/>
                <w:lang w:bidi="en-US"/>
              </w:rPr>
              <w:t xml:space="preserve">mechanical and oral antibiotic bowel preparation </w:t>
            </w:r>
            <w:r w:rsidR="00054D56">
              <w:rPr>
                <w:rFonts w:ascii="Calibri" w:eastAsia="Calibri" w:hAnsi="Calibri" w:cs="Calibri"/>
                <w:bCs/>
                <w:lang w:bidi="en-US"/>
              </w:rPr>
              <w:t>with</w:t>
            </w:r>
            <w:r w:rsidR="00B831DB" w:rsidRPr="00B831DB">
              <w:rPr>
                <w:rFonts w:ascii="Calibri" w:eastAsia="Calibri" w:hAnsi="Calibri" w:cs="Calibri"/>
                <w:bCs/>
                <w:lang w:bidi="en-US"/>
              </w:rPr>
              <w:t xml:space="preserve"> mechanical bowel preparation only</w:t>
            </w:r>
            <w:r w:rsidR="00B831DB">
              <w:rPr>
                <w:rFonts w:ascii="Calibri" w:eastAsia="Calibri" w:hAnsi="Calibri" w:cs="Calibri"/>
                <w:bCs/>
                <w:lang w:bidi="en-US"/>
              </w:rPr>
              <w:t xml:space="preserve">. </w:t>
            </w:r>
            <w:r w:rsidR="001C46AC">
              <w:rPr>
                <w:rFonts w:ascii="Calibri" w:eastAsia="Calibri" w:hAnsi="Calibri" w:cs="Calibri"/>
                <w:bCs/>
                <w:lang w:bidi="en-US"/>
              </w:rPr>
              <w:t xml:space="preserve">The estimated completion date is March 2027. </w:t>
            </w:r>
          </w:p>
        </w:tc>
        <w:tc>
          <w:tcPr>
            <w:tcW w:w="4089" w:type="dxa"/>
          </w:tcPr>
          <w:p w14:paraId="488496B5" w14:textId="77777777" w:rsidR="00D94FF6" w:rsidRDefault="00024ACD" w:rsidP="00F14BBA">
            <w:pPr>
              <w:pStyle w:val="TableParagraph"/>
              <w:rPr>
                <w:b/>
              </w:rPr>
            </w:pPr>
            <w:r w:rsidRPr="00C82D6D">
              <w:rPr>
                <w:b/>
              </w:rPr>
              <w:t>Slide 8</w:t>
            </w:r>
          </w:p>
          <w:p w14:paraId="2361F882" w14:textId="09C928B7" w:rsidR="007E4E48" w:rsidRPr="00C82D6D" w:rsidRDefault="007E4E48" w:rsidP="00CC1FB1">
            <w:pPr>
              <w:pStyle w:val="TableParagraph"/>
              <w:spacing w:after="120" w:line="240" w:lineRule="auto"/>
              <w:rPr>
                <w:b/>
              </w:rPr>
            </w:pPr>
            <w:r>
              <w:rPr>
                <w:noProof/>
              </w:rPr>
              <w:drawing>
                <wp:inline distT="0" distB="0" distL="0" distR="0" wp14:anchorId="052BB1DA" wp14:editId="5B8B3EF9">
                  <wp:extent cx="2286000" cy="1710418"/>
                  <wp:effectExtent l="0" t="0" r="0" b="4445"/>
                  <wp:docPr id="11" name="Picture 11"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8"/>
                          <pic:cNvPicPr/>
                        </pic:nvPicPr>
                        <pic:blipFill>
                          <a:blip r:embed="rId18"/>
                          <a:stretch>
                            <a:fillRect/>
                          </a:stretch>
                        </pic:blipFill>
                        <pic:spPr>
                          <a:xfrm>
                            <a:off x="0" y="0"/>
                            <a:ext cx="2286000" cy="1710418"/>
                          </a:xfrm>
                          <a:prstGeom prst="rect">
                            <a:avLst/>
                          </a:prstGeom>
                        </pic:spPr>
                      </pic:pic>
                    </a:graphicData>
                  </a:graphic>
                </wp:inline>
              </w:drawing>
            </w:r>
          </w:p>
        </w:tc>
      </w:tr>
      <w:tr w:rsidR="007E4E48" w14:paraId="26BED3B9" w14:textId="77777777" w:rsidTr="003B264F">
        <w:trPr>
          <w:cantSplit/>
          <w:trHeight w:val="1553"/>
        </w:trPr>
        <w:tc>
          <w:tcPr>
            <w:tcW w:w="6025" w:type="dxa"/>
          </w:tcPr>
          <w:p w14:paraId="72FAB994" w14:textId="3E7531E8" w:rsidR="00CA0FE7" w:rsidRPr="00CA0FE7" w:rsidRDefault="00CA0FE7" w:rsidP="00CA0FE7">
            <w:pPr>
              <w:widowControl w:val="0"/>
              <w:autoSpaceDE w:val="0"/>
              <w:autoSpaceDN w:val="0"/>
              <w:rPr>
                <w:rFonts w:ascii="Calibri" w:eastAsia="Calibri" w:hAnsi="Calibri" w:cs="Calibri"/>
                <w:b/>
                <w:bCs/>
                <w:lang w:bidi="en-US"/>
              </w:rPr>
            </w:pPr>
            <w:r w:rsidRPr="00CA0FE7">
              <w:rPr>
                <w:rFonts w:ascii="Calibri" w:eastAsia="Calibri" w:hAnsi="Calibri" w:cs="Calibri"/>
                <w:b/>
                <w:bCs/>
                <w:lang w:bidi="en-US"/>
              </w:rPr>
              <w:t>Thank You</w:t>
            </w:r>
            <w:r w:rsidR="00502FD7">
              <w:rPr>
                <w:rFonts w:ascii="Calibri" w:eastAsia="Calibri" w:hAnsi="Calibri" w:cs="Calibri"/>
                <w:b/>
                <w:bCs/>
                <w:lang w:bidi="en-US"/>
              </w:rPr>
              <w:t>!</w:t>
            </w:r>
          </w:p>
          <w:p w14:paraId="627BACD3" w14:textId="77777777" w:rsidR="00F65EC8" w:rsidRPr="00F65EC8" w:rsidRDefault="00F65EC8" w:rsidP="00F65EC8">
            <w:pPr>
              <w:widowControl w:val="0"/>
              <w:autoSpaceDE w:val="0"/>
              <w:autoSpaceDN w:val="0"/>
              <w:rPr>
                <w:rFonts w:ascii="Calibri" w:eastAsia="Calibri" w:hAnsi="Calibri" w:cs="Calibri"/>
                <w:lang w:bidi="en-US"/>
              </w:rPr>
            </w:pPr>
            <w:r w:rsidRPr="00F65EC8">
              <w:rPr>
                <w:rFonts w:ascii="Calibri" w:eastAsia="Calibri" w:hAnsi="Calibri" w:cs="Calibri"/>
                <w:lang w:bidi="en-US"/>
              </w:rPr>
              <w:t>Thank you for your time today. Do you have any questions?</w:t>
            </w:r>
          </w:p>
          <w:p w14:paraId="554EB213" w14:textId="3108729D" w:rsidR="00CA0FE7" w:rsidRDefault="00F65EC8" w:rsidP="00CC1FB1">
            <w:pPr>
              <w:pStyle w:val="TableParagraph"/>
              <w:spacing w:after="120"/>
              <w:rPr>
                <w:b/>
              </w:rPr>
            </w:pPr>
            <w:r w:rsidRPr="00F65EC8">
              <w:t xml:space="preserve">My information is listed on this slide if you have any </w:t>
            </w:r>
            <w:proofErr w:type="spellStart"/>
            <w:r w:rsidRPr="00F65EC8">
              <w:t>followup</w:t>
            </w:r>
            <w:proofErr w:type="spellEnd"/>
            <w:r w:rsidRPr="00F65EC8">
              <w:t xml:space="preserve"> questions about what I’ve shared. Please don’t hesitate to contact me by email or phone. </w:t>
            </w:r>
          </w:p>
        </w:tc>
        <w:tc>
          <w:tcPr>
            <w:tcW w:w="4089" w:type="dxa"/>
          </w:tcPr>
          <w:p w14:paraId="5C4FC957" w14:textId="77777777" w:rsidR="00CA0FE7" w:rsidRDefault="00CA0FE7" w:rsidP="00F14BBA">
            <w:pPr>
              <w:pStyle w:val="TableParagraph"/>
              <w:rPr>
                <w:b/>
              </w:rPr>
            </w:pPr>
            <w:r w:rsidRPr="00C82D6D">
              <w:rPr>
                <w:b/>
              </w:rPr>
              <w:t xml:space="preserve">Slide </w:t>
            </w:r>
            <w:r w:rsidR="00D94FF6" w:rsidRPr="00C82D6D">
              <w:rPr>
                <w:b/>
              </w:rPr>
              <w:t>9</w:t>
            </w:r>
          </w:p>
          <w:p w14:paraId="47125E77" w14:textId="2845D0A2" w:rsidR="007E4E48" w:rsidRPr="00C82D6D" w:rsidRDefault="007E4E48" w:rsidP="00CC1FB1">
            <w:pPr>
              <w:pStyle w:val="TableParagraph"/>
              <w:spacing w:after="120" w:line="240" w:lineRule="auto"/>
              <w:rPr>
                <w:b/>
              </w:rPr>
            </w:pPr>
            <w:r>
              <w:rPr>
                <w:noProof/>
              </w:rPr>
              <w:drawing>
                <wp:inline distT="0" distB="0" distL="0" distR="0" wp14:anchorId="19619B44" wp14:editId="4F540103">
                  <wp:extent cx="2286000" cy="1706335"/>
                  <wp:effectExtent l="0" t="0" r="0" b="8255"/>
                  <wp:docPr id="12" name="Picture 12"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9"/>
                          <pic:cNvPicPr/>
                        </pic:nvPicPr>
                        <pic:blipFill>
                          <a:blip r:embed="rId19"/>
                          <a:stretch>
                            <a:fillRect/>
                          </a:stretch>
                        </pic:blipFill>
                        <pic:spPr>
                          <a:xfrm>
                            <a:off x="0" y="0"/>
                            <a:ext cx="2286000" cy="1706335"/>
                          </a:xfrm>
                          <a:prstGeom prst="rect">
                            <a:avLst/>
                          </a:prstGeom>
                        </pic:spPr>
                      </pic:pic>
                    </a:graphicData>
                  </a:graphic>
                </wp:inline>
              </w:drawing>
            </w:r>
          </w:p>
        </w:tc>
      </w:tr>
      <w:tr w:rsidR="007E4E48" w14:paraId="7179B654" w14:textId="77777777" w:rsidTr="003B264F">
        <w:trPr>
          <w:cantSplit/>
          <w:trHeight w:val="1331"/>
        </w:trPr>
        <w:tc>
          <w:tcPr>
            <w:tcW w:w="6025" w:type="dxa"/>
          </w:tcPr>
          <w:p w14:paraId="7645A9AD" w14:textId="474661AA" w:rsidR="00694EA4" w:rsidRDefault="00694EA4" w:rsidP="00CA0FE7">
            <w:pPr>
              <w:widowControl w:val="0"/>
              <w:autoSpaceDE w:val="0"/>
              <w:autoSpaceDN w:val="0"/>
              <w:rPr>
                <w:rFonts w:ascii="Calibri" w:eastAsia="Calibri" w:hAnsi="Calibri" w:cs="Calibri"/>
                <w:b/>
                <w:bCs/>
                <w:lang w:bidi="en-US"/>
              </w:rPr>
            </w:pPr>
            <w:r>
              <w:rPr>
                <w:rFonts w:ascii="Calibri" w:eastAsia="Calibri" w:hAnsi="Calibri" w:cs="Calibri"/>
                <w:b/>
                <w:bCs/>
                <w:lang w:bidi="en-US"/>
              </w:rPr>
              <w:lastRenderedPageBreak/>
              <w:t>References (Part 1)</w:t>
            </w:r>
          </w:p>
          <w:p w14:paraId="587F72F3" w14:textId="31D24EA8" w:rsidR="00694EA4" w:rsidRPr="00A56128" w:rsidRDefault="00694EA4" w:rsidP="00CA0FE7">
            <w:pPr>
              <w:widowControl w:val="0"/>
              <w:autoSpaceDE w:val="0"/>
              <w:autoSpaceDN w:val="0"/>
              <w:rPr>
                <w:rFonts w:ascii="Calibri" w:eastAsia="Calibri" w:hAnsi="Calibri" w:cs="Calibri"/>
                <w:bCs/>
                <w:lang w:bidi="en-US"/>
              </w:rPr>
            </w:pPr>
            <w:r w:rsidRPr="00A56128">
              <w:rPr>
                <w:rFonts w:ascii="Calibri" w:eastAsia="Calibri" w:hAnsi="Calibri" w:cs="Calibri"/>
                <w:bCs/>
                <w:lang w:bidi="en-US"/>
              </w:rPr>
              <w:t>References for this presentation are included on slides</w:t>
            </w:r>
            <w:r w:rsidR="00E65FA4">
              <w:rPr>
                <w:rFonts w:ascii="Calibri" w:eastAsia="Calibri" w:hAnsi="Calibri" w:cs="Calibri"/>
                <w:bCs/>
                <w:lang w:bidi="en-US"/>
              </w:rPr>
              <w:t xml:space="preserve"> 10, 11, and 12</w:t>
            </w:r>
            <w:r w:rsidRPr="00A56128">
              <w:rPr>
                <w:rFonts w:ascii="Calibri" w:eastAsia="Calibri" w:hAnsi="Calibri" w:cs="Calibri"/>
                <w:bCs/>
                <w:lang w:bidi="en-US"/>
              </w:rPr>
              <w:t>.</w:t>
            </w:r>
          </w:p>
        </w:tc>
        <w:tc>
          <w:tcPr>
            <w:tcW w:w="4089" w:type="dxa"/>
          </w:tcPr>
          <w:p w14:paraId="27045ABD" w14:textId="77777777" w:rsidR="00694EA4" w:rsidRDefault="00694EA4" w:rsidP="00F14BBA">
            <w:pPr>
              <w:pStyle w:val="TableParagraph"/>
              <w:rPr>
                <w:b/>
              </w:rPr>
            </w:pPr>
            <w:r w:rsidRPr="00A56128">
              <w:rPr>
                <w:b/>
              </w:rPr>
              <w:t>Slide 10</w:t>
            </w:r>
          </w:p>
          <w:p w14:paraId="2C69CA11" w14:textId="711036B0" w:rsidR="007E4E48" w:rsidRPr="00A56128" w:rsidRDefault="007E4E48" w:rsidP="00CC1FB1">
            <w:pPr>
              <w:pStyle w:val="TableParagraph"/>
              <w:spacing w:after="120" w:line="240" w:lineRule="auto"/>
              <w:rPr>
                <w:b/>
              </w:rPr>
            </w:pPr>
            <w:r>
              <w:rPr>
                <w:noProof/>
              </w:rPr>
              <w:drawing>
                <wp:inline distT="0" distB="0" distL="0" distR="0" wp14:anchorId="160EF933" wp14:editId="29951D0D">
                  <wp:extent cx="2286000" cy="1712459"/>
                  <wp:effectExtent l="0" t="0" r="0" b="2540"/>
                  <wp:docPr id="13" name="Picture 13"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0"/>
                          <pic:cNvPicPr/>
                        </pic:nvPicPr>
                        <pic:blipFill>
                          <a:blip r:embed="rId20"/>
                          <a:stretch>
                            <a:fillRect/>
                          </a:stretch>
                        </pic:blipFill>
                        <pic:spPr>
                          <a:xfrm>
                            <a:off x="0" y="0"/>
                            <a:ext cx="2286000" cy="1712459"/>
                          </a:xfrm>
                          <a:prstGeom prst="rect">
                            <a:avLst/>
                          </a:prstGeom>
                        </pic:spPr>
                      </pic:pic>
                    </a:graphicData>
                  </a:graphic>
                </wp:inline>
              </w:drawing>
            </w:r>
          </w:p>
        </w:tc>
      </w:tr>
      <w:tr w:rsidR="007E4E48" w14:paraId="190DC2F0" w14:textId="77777777" w:rsidTr="003B264F">
        <w:trPr>
          <w:cantSplit/>
          <w:trHeight w:val="1061"/>
        </w:trPr>
        <w:tc>
          <w:tcPr>
            <w:tcW w:w="6025" w:type="dxa"/>
          </w:tcPr>
          <w:p w14:paraId="54CA7491" w14:textId="714CE5C1" w:rsidR="00694EA4" w:rsidRDefault="00694EA4" w:rsidP="00CA0FE7">
            <w:pPr>
              <w:widowControl w:val="0"/>
              <w:autoSpaceDE w:val="0"/>
              <w:autoSpaceDN w:val="0"/>
              <w:rPr>
                <w:rFonts w:ascii="Calibri" w:eastAsia="Calibri" w:hAnsi="Calibri" w:cs="Calibri"/>
                <w:b/>
                <w:bCs/>
                <w:lang w:bidi="en-US"/>
              </w:rPr>
            </w:pPr>
            <w:r>
              <w:rPr>
                <w:rFonts w:ascii="Calibri" w:eastAsia="Calibri" w:hAnsi="Calibri" w:cs="Calibri"/>
                <w:b/>
                <w:bCs/>
                <w:lang w:bidi="en-US"/>
              </w:rPr>
              <w:t>References (Part 2)</w:t>
            </w:r>
          </w:p>
          <w:p w14:paraId="32C91391" w14:textId="05CC9BC4" w:rsidR="00694EA4" w:rsidRPr="00A56128" w:rsidRDefault="00694EA4" w:rsidP="00CA0FE7">
            <w:pPr>
              <w:widowControl w:val="0"/>
              <w:autoSpaceDE w:val="0"/>
              <w:autoSpaceDN w:val="0"/>
              <w:rPr>
                <w:rFonts w:ascii="Calibri" w:eastAsia="Calibri" w:hAnsi="Calibri" w:cs="Calibri"/>
                <w:bCs/>
                <w:lang w:bidi="en-US"/>
              </w:rPr>
            </w:pPr>
            <w:r>
              <w:rPr>
                <w:rFonts w:ascii="Calibri" w:eastAsia="Calibri" w:hAnsi="Calibri" w:cs="Calibri"/>
                <w:bCs/>
                <w:lang w:bidi="en-US"/>
              </w:rPr>
              <w:t xml:space="preserve">Here is the second </w:t>
            </w:r>
            <w:r w:rsidR="00E65FA4">
              <w:rPr>
                <w:rFonts w:ascii="Calibri" w:eastAsia="Calibri" w:hAnsi="Calibri" w:cs="Calibri"/>
                <w:bCs/>
                <w:lang w:bidi="en-US"/>
              </w:rPr>
              <w:t>group of</w:t>
            </w:r>
            <w:r>
              <w:rPr>
                <w:rFonts w:ascii="Calibri" w:eastAsia="Calibri" w:hAnsi="Calibri" w:cs="Calibri"/>
                <w:bCs/>
                <w:lang w:bidi="en-US"/>
              </w:rPr>
              <w:t xml:space="preserve"> references.</w:t>
            </w:r>
          </w:p>
        </w:tc>
        <w:tc>
          <w:tcPr>
            <w:tcW w:w="4089" w:type="dxa"/>
          </w:tcPr>
          <w:p w14:paraId="10C510DA" w14:textId="77777777" w:rsidR="00694EA4" w:rsidRDefault="00694EA4" w:rsidP="00F14BBA">
            <w:pPr>
              <w:pStyle w:val="TableParagraph"/>
              <w:rPr>
                <w:b/>
              </w:rPr>
            </w:pPr>
            <w:r w:rsidRPr="00A56128">
              <w:rPr>
                <w:b/>
              </w:rPr>
              <w:t>Slide 11</w:t>
            </w:r>
          </w:p>
          <w:p w14:paraId="67007ECF" w14:textId="5104BCAB" w:rsidR="007E4E48" w:rsidRPr="00A56128" w:rsidRDefault="007E4E48" w:rsidP="00CC1FB1">
            <w:pPr>
              <w:pStyle w:val="TableParagraph"/>
              <w:spacing w:after="120" w:line="240" w:lineRule="auto"/>
              <w:rPr>
                <w:b/>
              </w:rPr>
            </w:pPr>
            <w:r>
              <w:rPr>
                <w:noProof/>
              </w:rPr>
              <w:drawing>
                <wp:inline distT="0" distB="0" distL="0" distR="0" wp14:anchorId="3DC6BB65" wp14:editId="6C41602D">
                  <wp:extent cx="2286000" cy="1710418"/>
                  <wp:effectExtent l="0" t="0" r="0" b="4445"/>
                  <wp:docPr id="14" name="Picture 14"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1"/>
                          <pic:cNvPicPr/>
                        </pic:nvPicPr>
                        <pic:blipFill>
                          <a:blip r:embed="rId21"/>
                          <a:stretch>
                            <a:fillRect/>
                          </a:stretch>
                        </pic:blipFill>
                        <pic:spPr>
                          <a:xfrm>
                            <a:off x="0" y="0"/>
                            <a:ext cx="2286000" cy="1710418"/>
                          </a:xfrm>
                          <a:prstGeom prst="rect">
                            <a:avLst/>
                          </a:prstGeom>
                        </pic:spPr>
                      </pic:pic>
                    </a:graphicData>
                  </a:graphic>
                </wp:inline>
              </w:drawing>
            </w:r>
          </w:p>
        </w:tc>
      </w:tr>
      <w:tr w:rsidR="007E4E48" w14:paraId="572B5610" w14:textId="77777777" w:rsidTr="003B264F">
        <w:trPr>
          <w:cantSplit/>
          <w:trHeight w:val="1061"/>
        </w:trPr>
        <w:tc>
          <w:tcPr>
            <w:tcW w:w="6025" w:type="dxa"/>
          </w:tcPr>
          <w:p w14:paraId="6BAAAB53" w14:textId="400966F7" w:rsidR="00E65FA4" w:rsidRDefault="00E65FA4" w:rsidP="00E65FA4">
            <w:pPr>
              <w:widowControl w:val="0"/>
              <w:autoSpaceDE w:val="0"/>
              <w:autoSpaceDN w:val="0"/>
              <w:rPr>
                <w:rFonts w:ascii="Calibri" w:eastAsia="Calibri" w:hAnsi="Calibri" w:cs="Calibri"/>
                <w:b/>
                <w:bCs/>
                <w:lang w:bidi="en-US"/>
              </w:rPr>
            </w:pPr>
            <w:r>
              <w:rPr>
                <w:rFonts w:ascii="Calibri" w:eastAsia="Calibri" w:hAnsi="Calibri" w:cs="Calibri"/>
                <w:b/>
                <w:bCs/>
                <w:lang w:bidi="en-US"/>
              </w:rPr>
              <w:t>References (Part 3)</w:t>
            </w:r>
          </w:p>
          <w:p w14:paraId="2E86E0A8" w14:textId="4C40A2DB" w:rsidR="00E65FA4" w:rsidRDefault="00E65FA4" w:rsidP="00E65FA4">
            <w:pPr>
              <w:widowControl w:val="0"/>
              <w:autoSpaceDE w:val="0"/>
              <w:autoSpaceDN w:val="0"/>
              <w:rPr>
                <w:rFonts w:ascii="Calibri" w:eastAsia="Calibri" w:hAnsi="Calibri" w:cs="Calibri"/>
                <w:b/>
                <w:bCs/>
                <w:lang w:bidi="en-US"/>
              </w:rPr>
            </w:pPr>
            <w:r>
              <w:rPr>
                <w:rFonts w:ascii="Calibri" w:eastAsia="Calibri" w:hAnsi="Calibri" w:cs="Calibri"/>
                <w:bCs/>
                <w:lang w:bidi="en-US"/>
              </w:rPr>
              <w:t>Here is the third group of references.</w:t>
            </w:r>
          </w:p>
        </w:tc>
        <w:tc>
          <w:tcPr>
            <w:tcW w:w="4089" w:type="dxa"/>
          </w:tcPr>
          <w:p w14:paraId="50A33130" w14:textId="77777777" w:rsidR="00E65FA4" w:rsidRDefault="00E65FA4" w:rsidP="00E65FA4">
            <w:pPr>
              <w:pStyle w:val="TableParagraph"/>
              <w:rPr>
                <w:b/>
              </w:rPr>
            </w:pPr>
            <w:r w:rsidRPr="00A56128">
              <w:rPr>
                <w:b/>
              </w:rPr>
              <w:t>Slide 1</w:t>
            </w:r>
            <w:r>
              <w:rPr>
                <w:b/>
              </w:rPr>
              <w:t>2</w:t>
            </w:r>
          </w:p>
          <w:p w14:paraId="07656048" w14:textId="0F2B2B99" w:rsidR="007E4E48" w:rsidRPr="00A56128" w:rsidRDefault="007E4E48" w:rsidP="00CC1FB1">
            <w:pPr>
              <w:pStyle w:val="TableParagraph"/>
              <w:spacing w:after="120" w:line="240" w:lineRule="auto"/>
              <w:rPr>
                <w:b/>
              </w:rPr>
            </w:pPr>
            <w:r>
              <w:rPr>
                <w:noProof/>
              </w:rPr>
              <w:drawing>
                <wp:inline distT="0" distB="0" distL="0" distR="0" wp14:anchorId="0634398B" wp14:editId="4EC7A4A1">
                  <wp:extent cx="2286000" cy="1712463"/>
                  <wp:effectExtent l="0" t="0" r="0" b="2540"/>
                  <wp:docPr id="15" name="Picture 15"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2"/>
                          <pic:cNvPicPr/>
                        </pic:nvPicPr>
                        <pic:blipFill>
                          <a:blip r:embed="rId22"/>
                          <a:stretch>
                            <a:fillRect/>
                          </a:stretch>
                        </pic:blipFill>
                        <pic:spPr>
                          <a:xfrm>
                            <a:off x="0" y="0"/>
                            <a:ext cx="2286000" cy="1712463"/>
                          </a:xfrm>
                          <a:prstGeom prst="rect">
                            <a:avLst/>
                          </a:prstGeom>
                        </pic:spPr>
                      </pic:pic>
                    </a:graphicData>
                  </a:graphic>
                </wp:inline>
              </w:drawing>
            </w:r>
          </w:p>
        </w:tc>
      </w:tr>
    </w:tbl>
    <w:p w14:paraId="04D48083" w14:textId="086AB4CE" w:rsidR="00006257" w:rsidRDefault="002A69A2" w:rsidP="002A69A2">
      <w:pPr>
        <w:pStyle w:val="BodyText1"/>
        <w:spacing w:before="1800" w:after="0" w:line="240" w:lineRule="auto"/>
        <w:jc w:val="right"/>
      </w:pPr>
      <w:r>
        <w:t>AHRQ Pub. No. 23-0052</w:t>
      </w:r>
    </w:p>
    <w:p w14:paraId="00A7053A" w14:textId="27197DD0" w:rsidR="002A69A2" w:rsidRDefault="002A69A2" w:rsidP="002A69A2">
      <w:pPr>
        <w:pStyle w:val="BodyText1"/>
        <w:spacing w:after="0" w:line="240" w:lineRule="auto"/>
        <w:jc w:val="right"/>
      </w:pPr>
      <w:r>
        <w:t>June 2023</w:t>
      </w:r>
    </w:p>
    <w:sectPr w:rsidR="002A69A2" w:rsidSect="005763B3">
      <w:footerReference w:type="even" r:id="rId23"/>
      <w:footerReference w:type="default" r:id="rId24"/>
      <w:headerReference w:type="first" r:id="rId2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D415F" w14:textId="77777777" w:rsidR="00AF59CF" w:rsidRDefault="00AF59CF" w:rsidP="00CC236D">
      <w:r>
        <w:separator/>
      </w:r>
    </w:p>
  </w:endnote>
  <w:endnote w:type="continuationSeparator" w:id="0">
    <w:p w14:paraId="40992AF3" w14:textId="77777777" w:rsidR="00AF59CF" w:rsidRDefault="00AF59CF" w:rsidP="00CC236D">
      <w:r>
        <w:continuationSeparator/>
      </w:r>
    </w:p>
  </w:endnote>
  <w:endnote w:type="continuationNotice" w:id="1">
    <w:p w14:paraId="6CE8CEDD" w14:textId="77777777" w:rsidR="00AF59CF" w:rsidRDefault="00AF5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899938"/>
      <w:docPartObj>
        <w:docPartGallery w:val="Page Numbers (Bottom of Page)"/>
        <w:docPartUnique/>
      </w:docPartObj>
    </w:sdtPr>
    <w:sdtEndPr>
      <w:rPr>
        <w:rStyle w:val="PageNumber"/>
      </w:rPr>
    </w:sdtEndPr>
    <w:sdtContent>
      <w:p w14:paraId="536F8B21" w14:textId="77777777" w:rsidR="003441F5" w:rsidRDefault="003441F5" w:rsidP="007220F9">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94461" w14:textId="77777777" w:rsidR="003441F5" w:rsidRDefault="003441F5" w:rsidP="003441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EBB" w14:textId="3E4989CA" w:rsidR="00CC236D" w:rsidRPr="00B168E2" w:rsidRDefault="00502FD7" w:rsidP="003441F5">
    <w:pPr>
      <w:ind w:right="360"/>
      <w:rPr>
        <w:sz w:val="20"/>
        <w:szCs w:val="20"/>
      </w:rPr>
    </w:pPr>
    <w:r w:rsidRPr="00B168E2">
      <w:rPr>
        <w:noProof/>
        <w:sz w:val="20"/>
        <w:szCs w:val="20"/>
      </w:rPr>
      <mc:AlternateContent>
        <mc:Choice Requires="wps">
          <w:drawing>
            <wp:anchor distT="0" distB="0" distL="114300" distR="114300" simplePos="0" relativeHeight="251658243" behindDoc="0" locked="0" layoutInCell="1" allowOverlap="1" wp14:anchorId="0EBD0F4E" wp14:editId="756B0EC0">
              <wp:simplePos x="0" y="0"/>
              <wp:positionH relativeFrom="column">
                <wp:posOffset>5313045</wp:posOffset>
              </wp:positionH>
              <wp:positionV relativeFrom="page">
                <wp:posOffset>9672320</wp:posOffset>
              </wp:positionV>
              <wp:extent cx="1828800" cy="38481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384810"/>
                      </a:xfrm>
                      <a:prstGeom prst="rect">
                        <a:avLst/>
                      </a:prstGeom>
                      <a:noFill/>
                      <a:ln w="6350">
                        <a:noFill/>
                      </a:ln>
                    </wps:spPr>
                    <wps:txbx>
                      <w:txbxContent>
                        <w:p w14:paraId="5C3C7666" w14:textId="490E6AB5" w:rsidR="007301F2" w:rsidRPr="00AF3052" w:rsidRDefault="005763B3" w:rsidP="00AF3052">
                          <w:pPr>
                            <w:pStyle w:val="documentfootertitle"/>
                          </w:pPr>
                          <w:r>
                            <w:t>Oral Antibiotics and Mechanical Bowel Prep for SSI Prevention</w:t>
                          </w:r>
                          <w:r w:rsidR="00FC07D2" w:rsidRPr="00AF3052">
                            <w:t xml:space="preserve">  </w:t>
                          </w:r>
                          <w:r w:rsidR="00FC07D2" w:rsidRPr="00AF3052">
                            <w:fldChar w:fldCharType="begin"/>
                          </w:r>
                          <w:r w:rsidR="00FC07D2" w:rsidRPr="00AF3052">
                            <w:instrText xml:space="preserve"> PAGE   \* MERGEFORMAT </w:instrText>
                          </w:r>
                          <w:r w:rsidR="00FC07D2" w:rsidRPr="00AF3052">
                            <w:fldChar w:fldCharType="separate"/>
                          </w:r>
                          <w:r w:rsidR="00FC07D2" w:rsidRPr="00AF3052">
                            <w:t>1</w:t>
                          </w:r>
                          <w:r w:rsidR="00FC07D2" w:rsidRPr="00AF3052">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0F4E" id="_x0000_t202" coordsize="21600,21600" o:spt="202" path="m,l,21600r21600,l21600,xe">
              <v:stroke joinstyle="miter"/>
              <v:path gradientshapeok="t" o:connecttype="rect"/>
            </v:shapetype>
            <v:shape id="Text Box 5" o:spid="_x0000_s1027" type="#_x0000_t202" alt="&quot;&quot;" style="position:absolute;margin-left:418.35pt;margin-top:761.6pt;width:2in;height:3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" filled="f" stroked="f" strokeweight=".5pt">
              <v:textbox>
                <w:txbxContent>
                  <w:p w14:paraId="5C3C7666" w14:textId="490E6AB5" w:rsidR="007301F2" w:rsidRPr="00AF3052" w:rsidRDefault="005763B3" w:rsidP="00AF3052">
                    <w:pPr>
                      <w:pStyle w:val="documentfootertitle"/>
                    </w:pPr>
                    <w:r>
                      <w:t>Oral Antibiotics and Mechanical Bowel Prep for SSI Prevention</w:t>
                    </w:r>
                    <w:r w:rsidR="00FC07D2" w:rsidRPr="00AF3052">
                      <w:t xml:space="preserve">  </w:t>
                    </w:r>
                    <w:r w:rsidR="00FC07D2" w:rsidRPr="00AF3052">
                      <w:fldChar w:fldCharType="begin"/>
                    </w:r>
                    <w:r w:rsidR="00FC07D2" w:rsidRPr="00AF3052">
                      <w:instrText xml:space="preserve"> PAGE   \* MERGEFORMAT </w:instrText>
                    </w:r>
                    <w:r w:rsidR="00FC07D2" w:rsidRPr="00AF3052">
                      <w:fldChar w:fldCharType="separate"/>
                    </w:r>
                    <w:r w:rsidR="00FC07D2" w:rsidRPr="00AF3052">
                      <w:t>1</w:t>
                    </w:r>
                    <w:r w:rsidR="00FC07D2" w:rsidRPr="00AF3052">
                      <w:fldChar w:fldCharType="end"/>
                    </w:r>
                  </w:p>
                </w:txbxContent>
              </v:textbox>
              <w10:wrap anchory="page"/>
            </v:shape>
          </w:pict>
        </mc:Fallback>
      </mc:AlternateContent>
    </w:r>
    <w:r w:rsidRPr="00B168E2">
      <w:rPr>
        <w:noProof/>
        <w:sz w:val="20"/>
        <w:szCs w:val="20"/>
      </w:rPr>
      <w:drawing>
        <wp:anchor distT="0" distB="0" distL="114300" distR="114300" simplePos="0" relativeHeight="251658241" behindDoc="1" locked="0" layoutInCell="1" allowOverlap="1" wp14:anchorId="686BE4AC" wp14:editId="2637DFE1">
          <wp:simplePos x="0" y="0"/>
          <wp:positionH relativeFrom="column">
            <wp:posOffset>4070350</wp:posOffset>
          </wp:positionH>
          <wp:positionV relativeFrom="page">
            <wp:posOffset>9302750</wp:posOffset>
          </wp:positionV>
          <wp:extent cx="3035300" cy="76835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35300" cy="768350"/>
                  </a:xfrm>
                  <a:prstGeom prst="rect">
                    <a:avLst/>
                  </a:prstGeom>
                </pic:spPr>
              </pic:pic>
            </a:graphicData>
          </a:graphic>
          <wp14:sizeRelH relativeFrom="page">
            <wp14:pctWidth>0</wp14:pctWidth>
          </wp14:sizeRelH>
          <wp14:sizeRelV relativeFrom="page">
            <wp14:pctHeight>0</wp14:pctHeight>
          </wp14:sizeRelV>
        </wp:anchor>
      </w:drawing>
    </w:r>
    <w:r w:rsidR="00AF3052" w:rsidRPr="00B168E2">
      <w:rPr>
        <w:sz w:val="20"/>
        <w:szCs w:val="20"/>
      </w:rPr>
      <w:t>AHRQ Safety Program for Improving Surgical Care and Recovery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37A14" w14:textId="77777777" w:rsidR="00AF59CF" w:rsidRDefault="00AF59CF" w:rsidP="00CC236D">
      <w:r>
        <w:separator/>
      </w:r>
    </w:p>
  </w:footnote>
  <w:footnote w:type="continuationSeparator" w:id="0">
    <w:p w14:paraId="4629EE58" w14:textId="77777777" w:rsidR="00AF59CF" w:rsidRDefault="00AF59CF" w:rsidP="00CC236D">
      <w:r>
        <w:continuationSeparator/>
      </w:r>
    </w:p>
  </w:footnote>
  <w:footnote w:type="continuationNotice" w:id="1">
    <w:p w14:paraId="6E84DAC6" w14:textId="77777777" w:rsidR="00AF59CF" w:rsidRDefault="00AF5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80C" w14:textId="7D3A7E74" w:rsidR="00CC236D" w:rsidRDefault="00622680" w:rsidP="00AF3052">
    <w:pPr>
      <w:tabs>
        <w:tab w:val="center" w:pos="4680"/>
      </w:tabs>
    </w:pPr>
    <w:r w:rsidRPr="00622680">
      <w:rPr>
        <w:noProof/>
      </w:rPr>
      <w:drawing>
        <wp:anchor distT="0" distB="0" distL="114300" distR="114300" simplePos="0" relativeHeight="251659267" behindDoc="1" locked="0" layoutInCell="1" allowOverlap="1" wp14:anchorId="78B10EDC" wp14:editId="3B93F493">
          <wp:simplePos x="0" y="0"/>
          <wp:positionH relativeFrom="page">
            <wp:align>left</wp:align>
          </wp:positionH>
          <wp:positionV relativeFrom="page">
            <wp:align>top</wp:align>
          </wp:positionV>
          <wp:extent cx="7772400" cy="10058400"/>
          <wp:effectExtent l="0" t="0" r="0" b="0"/>
          <wp:wrapNone/>
          <wp:docPr id="20" name="Picture 2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F30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27EFF"/>
    <w:multiLevelType w:val="hybridMultilevel"/>
    <w:tmpl w:val="175A4FF6"/>
    <w:lvl w:ilvl="0" w:tplc="1D28E0CC">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4F6FB1"/>
    <w:multiLevelType w:val="hybridMultilevel"/>
    <w:tmpl w:val="3ABCA65C"/>
    <w:lvl w:ilvl="0" w:tplc="8A00B8F0">
      <w:start w:val="17"/>
      <w:numFmt w:val="decimal"/>
      <w:lvlText w:val="%1."/>
      <w:lvlJc w:val="left"/>
      <w:pPr>
        <w:tabs>
          <w:tab w:val="num" w:pos="720"/>
        </w:tabs>
        <w:ind w:left="720" w:hanging="360"/>
      </w:pPr>
    </w:lvl>
    <w:lvl w:ilvl="1" w:tplc="48C64DC0" w:tentative="1">
      <w:start w:val="1"/>
      <w:numFmt w:val="decimal"/>
      <w:lvlText w:val="%2."/>
      <w:lvlJc w:val="left"/>
      <w:pPr>
        <w:tabs>
          <w:tab w:val="num" w:pos="1440"/>
        </w:tabs>
        <w:ind w:left="1440" w:hanging="360"/>
      </w:pPr>
    </w:lvl>
    <w:lvl w:ilvl="2" w:tplc="46B2A4B6" w:tentative="1">
      <w:start w:val="1"/>
      <w:numFmt w:val="decimal"/>
      <w:lvlText w:val="%3."/>
      <w:lvlJc w:val="left"/>
      <w:pPr>
        <w:tabs>
          <w:tab w:val="num" w:pos="2160"/>
        </w:tabs>
        <w:ind w:left="2160" w:hanging="360"/>
      </w:pPr>
    </w:lvl>
    <w:lvl w:ilvl="3" w:tplc="627EFA2A" w:tentative="1">
      <w:start w:val="1"/>
      <w:numFmt w:val="decimal"/>
      <w:lvlText w:val="%4."/>
      <w:lvlJc w:val="left"/>
      <w:pPr>
        <w:tabs>
          <w:tab w:val="num" w:pos="2880"/>
        </w:tabs>
        <w:ind w:left="2880" w:hanging="360"/>
      </w:pPr>
    </w:lvl>
    <w:lvl w:ilvl="4" w:tplc="ABF66ADA" w:tentative="1">
      <w:start w:val="1"/>
      <w:numFmt w:val="decimal"/>
      <w:lvlText w:val="%5."/>
      <w:lvlJc w:val="left"/>
      <w:pPr>
        <w:tabs>
          <w:tab w:val="num" w:pos="3600"/>
        </w:tabs>
        <w:ind w:left="3600" w:hanging="360"/>
      </w:pPr>
    </w:lvl>
    <w:lvl w:ilvl="5" w:tplc="BFDAB918" w:tentative="1">
      <w:start w:val="1"/>
      <w:numFmt w:val="decimal"/>
      <w:lvlText w:val="%6."/>
      <w:lvlJc w:val="left"/>
      <w:pPr>
        <w:tabs>
          <w:tab w:val="num" w:pos="4320"/>
        </w:tabs>
        <w:ind w:left="4320" w:hanging="360"/>
      </w:pPr>
    </w:lvl>
    <w:lvl w:ilvl="6" w:tplc="633ECAF4" w:tentative="1">
      <w:start w:val="1"/>
      <w:numFmt w:val="decimal"/>
      <w:lvlText w:val="%7."/>
      <w:lvlJc w:val="left"/>
      <w:pPr>
        <w:tabs>
          <w:tab w:val="num" w:pos="5040"/>
        </w:tabs>
        <w:ind w:left="5040" w:hanging="360"/>
      </w:pPr>
    </w:lvl>
    <w:lvl w:ilvl="7" w:tplc="8CF880A2" w:tentative="1">
      <w:start w:val="1"/>
      <w:numFmt w:val="decimal"/>
      <w:lvlText w:val="%8."/>
      <w:lvlJc w:val="left"/>
      <w:pPr>
        <w:tabs>
          <w:tab w:val="num" w:pos="5760"/>
        </w:tabs>
        <w:ind w:left="5760" w:hanging="360"/>
      </w:pPr>
    </w:lvl>
    <w:lvl w:ilvl="8" w:tplc="425419B8" w:tentative="1">
      <w:start w:val="1"/>
      <w:numFmt w:val="decimal"/>
      <w:lvlText w:val="%9."/>
      <w:lvlJc w:val="left"/>
      <w:pPr>
        <w:tabs>
          <w:tab w:val="num" w:pos="6480"/>
        </w:tabs>
        <w:ind w:left="6480" w:hanging="360"/>
      </w:pPr>
    </w:lvl>
  </w:abstractNum>
  <w:num w:numId="1" w16cid:durableId="2016762539">
    <w:abstractNumId w:val="10"/>
  </w:num>
  <w:num w:numId="2" w16cid:durableId="160170193">
    <w:abstractNumId w:val="0"/>
  </w:num>
  <w:num w:numId="3" w16cid:durableId="1315986064">
    <w:abstractNumId w:val="1"/>
  </w:num>
  <w:num w:numId="4" w16cid:durableId="1286275442">
    <w:abstractNumId w:val="2"/>
  </w:num>
  <w:num w:numId="5" w16cid:durableId="1080714883">
    <w:abstractNumId w:val="3"/>
  </w:num>
  <w:num w:numId="6" w16cid:durableId="1942640166">
    <w:abstractNumId w:val="8"/>
  </w:num>
  <w:num w:numId="7" w16cid:durableId="1114596132">
    <w:abstractNumId w:val="4"/>
  </w:num>
  <w:num w:numId="8" w16cid:durableId="1752503077">
    <w:abstractNumId w:val="5"/>
  </w:num>
  <w:num w:numId="9" w16cid:durableId="2105954418">
    <w:abstractNumId w:val="6"/>
  </w:num>
  <w:num w:numId="10" w16cid:durableId="1637487658">
    <w:abstractNumId w:val="7"/>
  </w:num>
  <w:num w:numId="11" w16cid:durableId="1178274322">
    <w:abstractNumId w:val="9"/>
  </w:num>
  <w:num w:numId="12" w16cid:durableId="197399977">
    <w:abstractNumId w:val="10"/>
  </w:num>
  <w:num w:numId="13" w16cid:durableId="83385044">
    <w:abstractNumId w:val="10"/>
  </w:num>
  <w:num w:numId="14" w16cid:durableId="482233373">
    <w:abstractNumId w:val="10"/>
  </w:num>
  <w:num w:numId="15" w16cid:durableId="2132674533">
    <w:abstractNumId w:val="10"/>
  </w:num>
  <w:num w:numId="16" w16cid:durableId="97533065">
    <w:abstractNumId w:val="10"/>
  </w:num>
  <w:num w:numId="17" w16cid:durableId="1300839346">
    <w:abstractNumId w:val="10"/>
  </w:num>
  <w:num w:numId="18" w16cid:durableId="1584991673">
    <w:abstractNumId w:val="10"/>
  </w:num>
  <w:num w:numId="19" w16cid:durableId="65735330">
    <w:abstractNumId w:val="10"/>
  </w:num>
  <w:num w:numId="20" w16cid:durableId="485360666">
    <w:abstractNumId w:val="10"/>
  </w:num>
  <w:num w:numId="21" w16cid:durableId="1259945312">
    <w:abstractNumId w:val="10"/>
  </w:num>
  <w:num w:numId="22" w16cid:durableId="1220824094">
    <w:abstractNumId w:val="10"/>
  </w:num>
  <w:num w:numId="23" w16cid:durableId="1907714676">
    <w:abstractNumId w:val="10"/>
  </w:num>
  <w:num w:numId="24" w16cid:durableId="647058700">
    <w:abstractNumId w:val="10"/>
  </w:num>
  <w:num w:numId="25" w16cid:durableId="429471525">
    <w:abstractNumId w:val="10"/>
  </w:num>
  <w:num w:numId="26" w16cid:durableId="1485468992">
    <w:abstractNumId w:val="10"/>
  </w:num>
  <w:num w:numId="27" w16cid:durableId="423579043">
    <w:abstractNumId w:val="10"/>
  </w:num>
  <w:num w:numId="28" w16cid:durableId="1330985472">
    <w:abstractNumId w:val="11"/>
  </w:num>
  <w:num w:numId="29" w16cid:durableId="21292781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FBD"/>
    <w:rsid w:val="000026B1"/>
    <w:rsid w:val="0000511F"/>
    <w:rsid w:val="00005293"/>
    <w:rsid w:val="00006257"/>
    <w:rsid w:val="00015BAC"/>
    <w:rsid w:val="00021E63"/>
    <w:rsid w:val="00024ACD"/>
    <w:rsid w:val="00033728"/>
    <w:rsid w:val="00036913"/>
    <w:rsid w:val="000447CB"/>
    <w:rsid w:val="00047168"/>
    <w:rsid w:val="00050F1C"/>
    <w:rsid w:val="00054191"/>
    <w:rsid w:val="00054D56"/>
    <w:rsid w:val="0006186C"/>
    <w:rsid w:val="00072151"/>
    <w:rsid w:val="00092184"/>
    <w:rsid w:val="00097CFF"/>
    <w:rsid w:val="000A664A"/>
    <w:rsid w:val="000C7276"/>
    <w:rsid w:val="001002CB"/>
    <w:rsid w:val="00102ED7"/>
    <w:rsid w:val="00124EBB"/>
    <w:rsid w:val="001269CB"/>
    <w:rsid w:val="001449D9"/>
    <w:rsid w:val="001857FB"/>
    <w:rsid w:val="00196342"/>
    <w:rsid w:val="001A1BE5"/>
    <w:rsid w:val="001B07DD"/>
    <w:rsid w:val="001B1787"/>
    <w:rsid w:val="001C19EA"/>
    <w:rsid w:val="001C46AC"/>
    <w:rsid w:val="001C6475"/>
    <w:rsid w:val="001D1BAE"/>
    <w:rsid w:val="001D25C8"/>
    <w:rsid w:val="001F2578"/>
    <w:rsid w:val="001F2A9E"/>
    <w:rsid w:val="0021378B"/>
    <w:rsid w:val="00243E58"/>
    <w:rsid w:val="00245E0F"/>
    <w:rsid w:val="0026337C"/>
    <w:rsid w:val="002654D8"/>
    <w:rsid w:val="002672CD"/>
    <w:rsid w:val="002833BE"/>
    <w:rsid w:val="00286AAF"/>
    <w:rsid w:val="00296C19"/>
    <w:rsid w:val="002A1A1D"/>
    <w:rsid w:val="002A69A2"/>
    <w:rsid w:val="002C2776"/>
    <w:rsid w:val="002D6713"/>
    <w:rsid w:val="002D70F5"/>
    <w:rsid w:val="002D7283"/>
    <w:rsid w:val="002E6FBD"/>
    <w:rsid w:val="002F1711"/>
    <w:rsid w:val="002F3670"/>
    <w:rsid w:val="002F6437"/>
    <w:rsid w:val="00307572"/>
    <w:rsid w:val="0034134C"/>
    <w:rsid w:val="003441F5"/>
    <w:rsid w:val="0037758E"/>
    <w:rsid w:val="00385201"/>
    <w:rsid w:val="003B18D5"/>
    <w:rsid w:val="003B264F"/>
    <w:rsid w:val="003E32D7"/>
    <w:rsid w:val="003E6837"/>
    <w:rsid w:val="003E6C01"/>
    <w:rsid w:val="0040039A"/>
    <w:rsid w:val="00403888"/>
    <w:rsid w:val="004576DE"/>
    <w:rsid w:val="0046094E"/>
    <w:rsid w:val="00461B7F"/>
    <w:rsid w:val="00470042"/>
    <w:rsid w:val="004702B6"/>
    <w:rsid w:val="00476413"/>
    <w:rsid w:val="00491016"/>
    <w:rsid w:val="004A2DCF"/>
    <w:rsid w:val="004A36E1"/>
    <w:rsid w:val="004B6602"/>
    <w:rsid w:val="004C50B2"/>
    <w:rsid w:val="004C76C2"/>
    <w:rsid w:val="004D2B7B"/>
    <w:rsid w:val="004D5C5D"/>
    <w:rsid w:val="004E2CBD"/>
    <w:rsid w:val="004E51C3"/>
    <w:rsid w:val="004E524A"/>
    <w:rsid w:val="004F5E29"/>
    <w:rsid w:val="004F7E47"/>
    <w:rsid w:val="0050210A"/>
    <w:rsid w:val="00502FD7"/>
    <w:rsid w:val="00505C1E"/>
    <w:rsid w:val="00510609"/>
    <w:rsid w:val="00522111"/>
    <w:rsid w:val="00530C71"/>
    <w:rsid w:val="00535ECF"/>
    <w:rsid w:val="005405E1"/>
    <w:rsid w:val="00540EEA"/>
    <w:rsid w:val="005427DF"/>
    <w:rsid w:val="00550E76"/>
    <w:rsid w:val="00551BD7"/>
    <w:rsid w:val="0055659A"/>
    <w:rsid w:val="00562524"/>
    <w:rsid w:val="00566DA3"/>
    <w:rsid w:val="005763B3"/>
    <w:rsid w:val="00586F2A"/>
    <w:rsid w:val="00587F48"/>
    <w:rsid w:val="00595250"/>
    <w:rsid w:val="005B1DAB"/>
    <w:rsid w:val="005D1E02"/>
    <w:rsid w:val="005F5BDB"/>
    <w:rsid w:val="00600BAA"/>
    <w:rsid w:val="00605B12"/>
    <w:rsid w:val="0061663C"/>
    <w:rsid w:val="00622680"/>
    <w:rsid w:val="0062733C"/>
    <w:rsid w:val="006519D8"/>
    <w:rsid w:val="00662BA9"/>
    <w:rsid w:val="00672BEA"/>
    <w:rsid w:val="0067587E"/>
    <w:rsid w:val="00675A32"/>
    <w:rsid w:val="0068281D"/>
    <w:rsid w:val="00694C92"/>
    <w:rsid w:val="00694EA4"/>
    <w:rsid w:val="006B4E9D"/>
    <w:rsid w:val="006D1F8A"/>
    <w:rsid w:val="006D3493"/>
    <w:rsid w:val="006D532C"/>
    <w:rsid w:val="006E5264"/>
    <w:rsid w:val="006F04C5"/>
    <w:rsid w:val="006F5AC8"/>
    <w:rsid w:val="00702959"/>
    <w:rsid w:val="00703BB2"/>
    <w:rsid w:val="00714E3F"/>
    <w:rsid w:val="007220F9"/>
    <w:rsid w:val="007301F2"/>
    <w:rsid w:val="00746644"/>
    <w:rsid w:val="007505D3"/>
    <w:rsid w:val="00775104"/>
    <w:rsid w:val="00782D7A"/>
    <w:rsid w:val="00795342"/>
    <w:rsid w:val="00795543"/>
    <w:rsid w:val="007A28FF"/>
    <w:rsid w:val="007D27EA"/>
    <w:rsid w:val="007D5A86"/>
    <w:rsid w:val="007E4E48"/>
    <w:rsid w:val="00804DC4"/>
    <w:rsid w:val="008055EB"/>
    <w:rsid w:val="00806265"/>
    <w:rsid w:val="0080743B"/>
    <w:rsid w:val="00825D33"/>
    <w:rsid w:val="00840BDE"/>
    <w:rsid w:val="0085433A"/>
    <w:rsid w:val="008716CF"/>
    <w:rsid w:val="00872AF7"/>
    <w:rsid w:val="00874463"/>
    <w:rsid w:val="00875FC4"/>
    <w:rsid w:val="00883BDF"/>
    <w:rsid w:val="00886992"/>
    <w:rsid w:val="0089380B"/>
    <w:rsid w:val="008A279E"/>
    <w:rsid w:val="008C00B6"/>
    <w:rsid w:val="008C7CA8"/>
    <w:rsid w:val="008C7D87"/>
    <w:rsid w:val="008D652C"/>
    <w:rsid w:val="008E5CAD"/>
    <w:rsid w:val="008E6AAB"/>
    <w:rsid w:val="008F01C9"/>
    <w:rsid w:val="009066C5"/>
    <w:rsid w:val="00910CF8"/>
    <w:rsid w:val="00912871"/>
    <w:rsid w:val="00916D1F"/>
    <w:rsid w:val="0093669F"/>
    <w:rsid w:val="00951FA0"/>
    <w:rsid w:val="009526F0"/>
    <w:rsid w:val="00976B21"/>
    <w:rsid w:val="009A50A3"/>
    <w:rsid w:val="009C329B"/>
    <w:rsid w:val="009C68B4"/>
    <w:rsid w:val="009E38F1"/>
    <w:rsid w:val="00A020C4"/>
    <w:rsid w:val="00A27BC5"/>
    <w:rsid w:val="00A36F2A"/>
    <w:rsid w:val="00A56128"/>
    <w:rsid w:val="00A606EA"/>
    <w:rsid w:val="00A74DEB"/>
    <w:rsid w:val="00A820EC"/>
    <w:rsid w:val="00A9641C"/>
    <w:rsid w:val="00AA68BF"/>
    <w:rsid w:val="00AC2097"/>
    <w:rsid w:val="00AC6D47"/>
    <w:rsid w:val="00AD6565"/>
    <w:rsid w:val="00AF3052"/>
    <w:rsid w:val="00AF59CF"/>
    <w:rsid w:val="00B00C3F"/>
    <w:rsid w:val="00B1268A"/>
    <w:rsid w:val="00B168E2"/>
    <w:rsid w:val="00B2440E"/>
    <w:rsid w:val="00B33818"/>
    <w:rsid w:val="00B520B6"/>
    <w:rsid w:val="00B52552"/>
    <w:rsid w:val="00B74A0C"/>
    <w:rsid w:val="00B831DB"/>
    <w:rsid w:val="00B8336D"/>
    <w:rsid w:val="00B8374A"/>
    <w:rsid w:val="00B93488"/>
    <w:rsid w:val="00B94F62"/>
    <w:rsid w:val="00B960E8"/>
    <w:rsid w:val="00BA5C18"/>
    <w:rsid w:val="00BA63C9"/>
    <w:rsid w:val="00BB7B5E"/>
    <w:rsid w:val="00BC24DB"/>
    <w:rsid w:val="00BC2661"/>
    <w:rsid w:val="00BD3550"/>
    <w:rsid w:val="00BE1428"/>
    <w:rsid w:val="00BE14E3"/>
    <w:rsid w:val="00BF24DB"/>
    <w:rsid w:val="00C04996"/>
    <w:rsid w:val="00C07969"/>
    <w:rsid w:val="00C1500D"/>
    <w:rsid w:val="00C41B8A"/>
    <w:rsid w:val="00C45A34"/>
    <w:rsid w:val="00C52C8D"/>
    <w:rsid w:val="00C5636C"/>
    <w:rsid w:val="00C57E17"/>
    <w:rsid w:val="00C60969"/>
    <w:rsid w:val="00C60B43"/>
    <w:rsid w:val="00C752F0"/>
    <w:rsid w:val="00C77CC0"/>
    <w:rsid w:val="00C82D6D"/>
    <w:rsid w:val="00C83189"/>
    <w:rsid w:val="00C86378"/>
    <w:rsid w:val="00CA08AF"/>
    <w:rsid w:val="00CA0FE7"/>
    <w:rsid w:val="00CA17A1"/>
    <w:rsid w:val="00CA1C08"/>
    <w:rsid w:val="00CB1A0A"/>
    <w:rsid w:val="00CC1FB1"/>
    <w:rsid w:val="00CC236D"/>
    <w:rsid w:val="00CD1190"/>
    <w:rsid w:val="00CD2D78"/>
    <w:rsid w:val="00CE7F64"/>
    <w:rsid w:val="00CF2551"/>
    <w:rsid w:val="00CF2AE6"/>
    <w:rsid w:val="00D0574D"/>
    <w:rsid w:val="00D55008"/>
    <w:rsid w:val="00D566DB"/>
    <w:rsid w:val="00D73C1B"/>
    <w:rsid w:val="00D81114"/>
    <w:rsid w:val="00D87F88"/>
    <w:rsid w:val="00D93ED2"/>
    <w:rsid w:val="00D9437A"/>
    <w:rsid w:val="00D94FF6"/>
    <w:rsid w:val="00DB0698"/>
    <w:rsid w:val="00DB286B"/>
    <w:rsid w:val="00DC13E4"/>
    <w:rsid w:val="00DD0E79"/>
    <w:rsid w:val="00DD4BBB"/>
    <w:rsid w:val="00DE369A"/>
    <w:rsid w:val="00DE5C0A"/>
    <w:rsid w:val="00DE5FD7"/>
    <w:rsid w:val="00E047C9"/>
    <w:rsid w:val="00E131A6"/>
    <w:rsid w:val="00E65FA4"/>
    <w:rsid w:val="00E77A0A"/>
    <w:rsid w:val="00E873BD"/>
    <w:rsid w:val="00E91E89"/>
    <w:rsid w:val="00E92E88"/>
    <w:rsid w:val="00EF05FA"/>
    <w:rsid w:val="00EF336B"/>
    <w:rsid w:val="00F04F58"/>
    <w:rsid w:val="00F12097"/>
    <w:rsid w:val="00F14BBA"/>
    <w:rsid w:val="00F210AB"/>
    <w:rsid w:val="00F317E5"/>
    <w:rsid w:val="00F35564"/>
    <w:rsid w:val="00F45DF4"/>
    <w:rsid w:val="00F549EA"/>
    <w:rsid w:val="00F64AC8"/>
    <w:rsid w:val="00F65EC8"/>
    <w:rsid w:val="00F96634"/>
    <w:rsid w:val="00FA12BA"/>
    <w:rsid w:val="00FB0E6E"/>
    <w:rsid w:val="00FB1019"/>
    <w:rsid w:val="00FC07D2"/>
    <w:rsid w:val="00FC7082"/>
    <w:rsid w:val="00FD10A6"/>
    <w:rsid w:val="00FF7874"/>
    <w:rsid w:val="0E8F331B"/>
    <w:rsid w:val="48ECC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3E756"/>
  <w14:defaultImageDpi w14:val="32767"/>
  <w15:chartTrackingRefBased/>
  <w15:docId w15:val="{9592B6A5-4BE6-48D4-AC92-3F0EDF1F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702B6"/>
  </w:style>
  <w:style w:type="paragraph" w:styleId="Heading1">
    <w:name w:val="heading 1"/>
    <w:basedOn w:val="Normal"/>
    <w:next w:val="Normal"/>
    <w:link w:val="Heading1Char"/>
    <w:uiPriority w:val="9"/>
    <w:rsid w:val="002654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8C00B6"/>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otertitle">
    <w:name w:val="document footer title"/>
    <w:qFormat/>
    <w:rsid w:val="002F1711"/>
    <w:pPr>
      <w:jc w:val="right"/>
    </w:pPr>
    <w:rPr>
      <w:color w:val="000000" w:themeColor="text1"/>
      <w:sz w:val="18"/>
      <w:szCs w:val="18"/>
    </w:rPr>
  </w:style>
  <w:style w:type="table" w:styleId="TableGrid">
    <w:name w:val="Table Grid"/>
    <w:basedOn w:val="TableNormal"/>
    <w:uiPriority w:val="39"/>
    <w:rsid w:val="002F1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extcallout">
    <w:name w:val="Red text callout"/>
    <w:basedOn w:val="BodyText1"/>
    <w:qFormat/>
    <w:rsid w:val="002F1711"/>
    <w:rPr>
      <w:color w:val="C00000"/>
    </w:rPr>
  </w:style>
  <w:style w:type="paragraph" w:styleId="Header">
    <w:name w:val="header"/>
    <w:basedOn w:val="Normal"/>
    <w:link w:val="HeaderChar"/>
    <w:uiPriority w:val="99"/>
    <w:unhideWhenUsed/>
    <w:rsid w:val="002F1711"/>
    <w:pPr>
      <w:tabs>
        <w:tab w:val="center" w:pos="4680"/>
        <w:tab w:val="right" w:pos="9360"/>
      </w:tabs>
    </w:pPr>
  </w:style>
  <w:style w:type="character" w:styleId="PageNumber">
    <w:name w:val="page number"/>
    <w:basedOn w:val="DefaultParagraphFont"/>
    <w:uiPriority w:val="99"/>
    <w:semiHidden/>
    <w:unhideWhenUsed/>
    <w:rsid w:val="003441F5"/>
  </w:style>
  <w:style w:type="paragraph" w:customStyle="1" w:styleId="Headertitle">
    <w:name w:val="Header title"/>
    <w:autoRedefine/>
    <w:qFormat/>
    <w:rsid w:val="002E6FBD"/>
    <w:pPr>
      <w:spacing w:after="0" w:line="240" w:lineRule="auto"/>
      <w:contextualSpacing/>
      <w:jc w:val="center"/>
    </w:pPr>
    <w:rPr>
      <w:sz w:val="56"/>
      <w:szCs w:val="72"/>
    </w:rPr>
  </w:style>
  <w:style w:type="paragraph" w:customStyle="1" w:styleId="Section1title">
    <w:name w:val="Section 1 title"/>
    <w:basedOn w:val="Normal"/>
    <w:qFormat/>
    <w:rsid w:val="002F1711"/>
    <w:rPr>
      <w:b/>
      <w:bCs/>
      <w:sz w:val="32"/>
      <w:szCs w:val="32"/>
    </w:rPr>
  </w:style>
  <w:style w:type="paragraph" w:customStyle="1" w:styleId="bullet2">
    <w:name w:val="bullet 2"/>
    <w:basedOn w:val="Bullet1"/>
    <w:qFormat/>
    <w:rsid w:val="002F1711"/>
    <w:pPr>
      <w:numPr>
        <w:ilvl w:val="1"/>
      </w:numPr>
    </w:pPr>
  </w:style>
  <w:style w:type="character" w:customStyle="1" w:styleId="HeaderChar">
    <w:name w:val="Header Char"/>
    <w:basedOn w:val="DefaultParagraphFont"/>
    <w:link w:val="Header"/>
    <w:uiPriority w:val="99"/>
    <w:rsid w:val="002F1711"/>
  </w:style>
  <w:style w:type="paragraph" w:customStyle="1" w:styleId="Bullet1">
    <w:name w:val="Bullet 1"/>
    <w:basedOn w:val="BodyText"/>
    <w:qFormat/>
    <w:rsid w:val="002F1711"/>
    <w:pPr>
      <w:numPr>
        <w:numId w:val="27"/>
      </w:numPr>
    </w:pPr>
  </w:style>
  <w:style w:type="paragraph" w:customStyle="1" w:styleId="BodyText1">
    <w:name w:val="Body Text1"/>
    <w:qFormat/>
    <w:rsid w:val="002F1711"/>
  </w:style>
  <w:style w:type="paragraph" w:styleId="BodyText">
    <w:name w:val="Body Text"/>
    <w:basedOn w:val="Normal"/>
    <w:link w:val="BodyTextChar"/>
    <w:uiPriority w:val="99"/>
    <w:unhideWhenUsed/>
    <w:rsid w:val="002F1711"/>
    <w:pPr>
      <w:spacing w:after="120"/>
    </w:pPr>
  </w:style>
  <w:style w:type="character" w:customStyle="1" w:styleId="BodyTextChar">
    <w:name w:val="Body Text Char"/>
    <w:basedOn w:val="DefaultParagraphFont"/>
    <w:link w:val="BodyText"/>
    <w:uiPriority w:val="99"/>
    <w:rsid w:val="002F1711"/>
  </w:style>
  <w:style w:type="paragraph" w:customStyle="1" w:styleId="Bullet3">
    <w:name w:val="Bullet 3"/>
    <w:basedOn w:val="Bullet1"/>
    <w:qFormat/>
    <w:rsid w:val="002F1711"/>
    <w:pPr>
      <w:numPr>
        <w:ilvl w:val="2"/>
      </w:numPr>
    </w:pPr>
  </w:style>
  <w:style w:type="paragraph" w:customStyle="1" w:styleId="Bullet4">
    <w:name w:val="Bullet 4"/>
    <w:basedOn w:val="Bullet1"/>
    <w:qFormat/>
    <w:rsid w:val="002F1711"/>
    <w:pPr>
      <w:numPr>
        <w:ilvl w:val="3"/>
      </w:numPr>
    </w:pPr>
  </w:style>
  <w:style w:type="paragraph" w:customStyle="1" w:styleId="Reference">
    <w:name w:val="Reference"/>
    <w:qFormat/>
    <w:rsid w:val="002F1711"/>
    <w:rPr>
      <w:i/>
      <w:iCs/>
      <w:sz w:val="20"/>
      <w:szCs w:val="20"/>
    </w:rPr>
  </w:style>
  <w:style w:type="paragraph" w:customStyle="1" w:styleId="Section2Title">
    <w:name w:val="Section 2 Title"/>
    <w:qFormat/>
    <w:rsid w:val="002F1711"/>
    <w:rPr>
      <w:b/>
      <w:bCs/>
      <w:sz w:val="28"/>
      <w:szCs w:val="28"/>
    </w:rPr>
  </w:style>
  <w:style w:type="paragraph" w:customStyle="1" w:styleId="Section3Title">
    <w:name w:val="Section 3 Title"/>
    <w:qFormat/>
    <w:rsid w:val="002F1711"/>
    <w:rPr>
      <w:i/>
      <w:iCs/>
    </w:rPr>
  </w:style>
  <w:style w:type="character" w:customStyle="1" w:styleId="Heading1Char">
    <w:name w:val="Heading 1 Char"/>
    <w:basedOn w:val="DefaultParagraphFont"/>
    <w:link w:val="Heading1"/>
    <w:uiPriority w:val="9"/>
    <w:rsid w:val="002654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C00B6"/>
    <w:rPr>
      <w:b/>
      <w:bCs/>
      <w:sz w:val="28"/>
      <w:szCs w:val="28"/>
    </w:rPr>
  </w:style>
  <w:style w:type="paragraph" w:styleId="Footer">
    <w:name w:val="footer"/>
    <w:basedOn w:val="Normal"/>
    <w:link w:val="FooterChar"/>
    <w:uiPriority w:val="99"/>
    <w:unhideWhenUsed/>
    <w:rsid w:val="002F1711"/>
    <w:pPr>
      <w:tabs>
        <w:tab w:val="center" w:pos="4680"/>
        <w:tab w:val="right" w:pos="9360"/>
      </w:tabs>
    </w:pPr>
    <w:rPr>
      <w:sz w:val="18"/>
      <w:szCs w:val="18"/>
    </w:rPr>
  </w:style>
  <w:style w:type="character" w:customStyle="1" w:styleId="FooterChar">
    <w:name w:val="Footer Char"/>
    <w:basedOn w:val="DefaultParagraphFont"/>
    <w:link w:val="Footer"/>
    <w:uiPriority w:val="99"/>
    <w:rsid w:val="002F1711"/>
    <w:rPr>
      <w:sz w:val="18"/>
      <w:szCs w:val="18"/>
    </w:rPr>
  </w:style>
  <w:style w:type="paragraph" w:styleId="Title">
    <w:name w:val="Title"/>
    <w:aliases w:val="Toolkit Title"/>
    <w:basedOn w:val="Normal"/>
    <w:link w:val="TitleChar"/>
    <w:autoRedefine/>
    <w:qFormat/>
    <w:rsid w:val="002F1711"/>
    <w:pPr>
      <w:keepNext/>
      <w:keepLines/>
      <w:pBdr>
        <w:bottom w:val="single" w:sz="4" w:space="1" w:color="5B9BD5"/>
      </w:pBdr>
      <w:spacing w:before="120" w:after="240"/>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2F1711"/>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2F171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711"/>
    <w:rPr>
      <w:rFonts w:eastAsiaTheme="minorEastAsia"/>
      <w:color w:val="5A5A5A" w:themeColor="text1" w:themeTint="A5"/>
      <w:spacing w:val="15"/>
      <w:sz w:val="22"/>
      <w:szCs w:val="22"/>
    </w:rPr>
  </w:style>
  <w:style w:type="paragraph" w:customStyle="1" w:styleId="TableParagraph">
    <w:name w:val="Table Paragraph"/>
    <w:basedOn w:val="Normal"/>
    <w:uiPriority w:val="1"/>
    <w:qFormat/>
    <w:rsid w:val="002F1711"/>
    <w:pPr>
      <w:widowControl w:val="0"/>
      <w:autoSpaceDE w:val="0"/>
      <w:autoSpaceDN w:val="0"/>
    </w:pPr>
    <w:rPr>
      <w:rFonts w:ascii="Calibri" w:eastAsia="Calibri" w:hAnsi="Calibri" w:cs="Calibri"/>
      <w:lang w:bidi="en-US"/>
    </w:rPr>
  </w:style>
  <w:style w:type="character" w:styleId="Hyperlink">
    <w:name w:val="Hyperlink"/>
    <w:basedOn w:val="DefaultParagraphFont"/>
    <w:uiPriority w:val="99"/>
    <w:unhideWhenUsed/>
    <w:rsid w:val="002F1711"/>
    <w:rPr>
      <w:color w:val="0563C1" w:themeColor="hyperlink"/>
      <w:u w:val="single"/>
    </w:rPr>
  </w:style>
  <w:style w:type="paragraph" w:styleId="ListParagraph">
    <w:name w:val="List Paragraph"/>
    <w:basedOn w:val="Normal"/>
    <w:uiPriority w:val="34"/>
    <w:rsid w:val="002F1711"/>
    <w:pPr>
      <w:ind w:left="720"/>
      <w:contextualSpacing/>
    </w:pPr>
  </w:style>
  <w:style w:type="character" w:styleId="Emphasis">
    <w:name w:val="Emphasis"/>
    <w:basedOn w:val="DefaultParagraphFont"/>
    <w:uiPriority w:val="20"/>
    <w:rsid w:val="002F1711"/>
    <w:rPr>
      <w:i/>
      <w:iCs/>
    </w:rPr>
  </w:style>
  <w:style w:type="paragraph" w:styleId="BalloonText">
    <w:name w:val="Balloon Text"/>
    <w:basedOn w:val="Normal"/>
    <w:link w:val="BalloonTextChar"/>
    <w:uiPriority w:val="99"/>
    <w:semiHidden/>
    <w:unhideWhenUsed/>
    <w:rsid w:val="00F35564"/>
    <w:pPr>
      <w:spacing w:after="0" w:line="240" w:lineRule="auto"/>
    </w:pPr>
    <w:rPr>
      <w:rFonts w:ascii="Yu Gothic Light" w:eastAsia="Yu Gothic Light"/>
      <w:sz w:val="18"/>
      <w:szCs w:val="18"/>
    </w:rPr>
  </w:style>
  <w:style w:type="character" w:customStyle="1" w:styleId="BalloonTextChar">
    <w:name w:val="Balloon Text Char"/>
    <w:basedOn w:val="DefaultParagraphFont"/>
    <w:link w:val="BalloonText"/>
    <w:uiPriority w:val="99"/>
    <w:semiHidden/>
    <w:rsid w:val="00F35564"/>
    <w:rPr>
      <w:rFonts w:ascii="Yu Gothic Light" w:eastAsia="Yu Gothic Light"/>
      <w:sz w:val="18"/>
      <w:szCs w:val="18"/>
    </w:rPr>
  </w:style>
  <w:style w:type="character" w:styleId="CommentReference">
    <w:name w:val="annotation reference"/>
    <w:basedOn w:val="DefaultParagraphFont"/>
    <w:uiPriority w:val="99"/>
    <w:semiHidden/>
    <w:unhideWhenUsed/>
    <w:rsid w:val="00CA17A1"/>
    <w:rPr>
      <w:sz w:val="16"/>
      <w:szCs w:val="16"/>
    </w:rPr>
  </w:style>
  <w:style w:type="paragraph" w:styleId="CommentText">
    <w:name w:val="annotation text"/>
    <w:basedOn w:val="Normal"/>
    <w:link w:val="CommentTextChar"/>
    <w:uiPriority w:val="99"/>
    <w:unhideWhenUsed/>
    <w:rsid w:val="00CA17A1"/>
    <w:pPr>
      <w:spacing w:line="240" w:lineRule="auto"/>
    </w:pPr>
    <w:rPr>
      <w:sz w:val="20"/>
      <w:szCs w:val="20"/>
    </w:rPr>
  </w:style>
  <w:style w:type="character" w:customStyle="1" w:styleId="CommentTextChar">
    <w:name w:val="Comment Text Char"/>
    <w:basedOn w:val="DefaultParagraphFont"/>
    <w:link w:val="CommentText"/>
    <w:uiPriority w:val="99"/>
    <w:rsid w:val="00CA17A1"/>
    <w:rPr>
      <w:sz w:val="20"/>
      <w:szCs w:val="20"/>
    </w:rPr>
  </w:style>
  <w:style w:type="paragraph" w:styleId="CommentSubject">
    <w:name w:val="annotation subject"/>
    <w:basedOn w:val="CommentText"/>
    <w:next w:val="CommentText"/>
    <w:link w:val="CommentSubjectChar"/>
    <w:uiPriority w:val="99"/>
    <w:semiHidden/>
    <w:unhideWhenUsed/>
    <w:rsid w:val="00CA17A1"/>
    <w:rPr>
      <w:b/>
      <w:bCs/>
    </w:rPr>
  </w:style>
  <w:style w:type="character" w:customStyle="1" w:styleId="CommentSubjectChar">
    <w:name w:val="Comment Subject Char"/>
    <w:basedOn w:val="CommentTextChar"/>
    <w:link w:val="CommentSubject"/>
    <w:uiPriority w:val="99"/>
    <w:semiHidden/>
    <w:rsid w:val="00CA17A1"/>
    <w:rPr>
      <w:b/>
      <w:bCs/>
      <w:sz w:val="20"/>
      <w:szCs w:val="20"/>
    </w:rPr>
  </w:style>
  <w:style w:type="paragraph" w:styleId="NormalWeb">
    <w:name w:val="Normal (Web)"/>
    <w:basedOn w:val="Normal"/>
    <w:uiPriority w:val="99"/>
    <w:semiHidden/>
    <w:unhideWhenUsed/>
    <w:rsid w:val="00883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883BDF"/>
    <w:rPr>
      <w:rFonts w:ascii="Segoe UI" w:hAnsi="Segoe UI" w:cs="Segoe UI" w:hint="default"/>
      <w:sz w:val="18"/>
      <w:szCs w:val="18"/>
    </w:rPr>
  </w:style>
  <w:style w:type="paragraph" w:styleId="Revision">
    <w:name w:val="Revision"/>
    <w:hidden/>
    <w:uiPriority w:val="99"/>
    <w:semiHidden/>
    <w:rsid w:val="004609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63847">
      <w:bodyDiv w:val="1"/>
      <w:marLeft w:val="0"/>
      <w:marRight w:val="0"/>
      <w:marTop w:val="0"/>
      <w:marBottom w:val="0"/>
      <w:divBdr>
        <w:top w:val="none" w:sz="0" w:space="0" w:color="auto"/>
        <w:left w:val="none" w:sz="0" w:space="0" w:color="auto"/>
        <w:bottom w:val="none" w:sz="0" w:space="0" w:color="auto"/>
        <w:right w:val="none" w:sz="0" w:space="0" w:color="auto"/>
      </w:divBdr>
    </w:div>
    <w:div w:id="724063656">
      <w:bodyDiv w:val="1"/>
      <w:marLeft w:val="0"/>
      <w:marRight w:val="0"/>
      <w:marTop w:val="0"/>
      <w:marBottom w:val="0"/>
      <w:divBdr>
        <w:top w:val="none" w:sz="0" w:space="0" w:color="auto"/>
        <w:left w:val="none" w:sz="0" w:space="0" w:color="auto"/>
        <w:bottom w:val="none" w:sz="0" w:space="0" w:color="auto"/>
        <w:right w:val="none" w:sz="0" w:space="0" w:color="auto"/>
      </w:divBdr>
    </w:div>
    <w:div w:id="800418105">
      <w:bodyDiv w:val="1"/>
      <w:marLeft w:val="0"/>
      <w:marRight w:val="0"/>
      <w:marTop w:val="0"/>
      <w:marBottom w:val="0"/>
      <w:divBdr>
        <w:top w:val="none" w:sz="0" w:space="0" w:color="auto"/>
        <w:left w:val="none" w:sz="0" w:space="0" w:color="auto"/>
        <w:bottom w:val="none" w:sz="0" w:space="0" w:color="auto"/>
        <w:right w:val="none" w:sz="0" w:space="0" w:color="auto"/>
      </w:divBdr>
    </w:div>
    <w:div w:id="874342509">
      <w:bodyDiv w:val="1"/>
      <w:marLeft w:val="0"/>
      <w:marRight w:val="0"/>
      <w:marTop w:val="0"/>
      <w:marBottom w:val="0"/>
      <w:divBdr>
        <w:top w:val="none" w:sz="0" w:space="0" w:color="auto"/>
        <w:left w:val="none" w:sz="0" w:space="0" w:color="auto"/>
        <w:bottom w:val="none" w:sz="0" w:space="0" w:color="auto"/>
        <w:right w:val="none" w:sz="0" w:space="0" w:color="auto"/>
      </w:divBdr>
      <w:divsChild>
        <w:div w:id="904612077">
          <w:marLeft w:val="720"/>
          <w:marRight w:val="0"/>
          <w:marTop w:val="0"/>
          <w:marBottom w:val="60"/>
          <w:divBdr>
            <w:top w:val="none" w:sz="0" w:space="0" w:color="auto"/>
            <w:left w:val="none" w:sz="0" w:space="0" w:color="auto"/>
            <w:bottom w:val="none" w:sz="0" w:space="0" w:color="auto"/>
            <w:right w:val="none" w:sz="0" w:space="0" w:color="auto"/>
          </w:divBdr>
        </w:div>
        <w:div w:id="1104496426">
          <w:marLeft w:val="720"/>
          <w:marRight w:val="0"/>
          <w:marTop w:val="0"/>
          <w:marBottom w:val="60"/>
          <w:divBdr>
            <w:top w:val="none" w:sz="0" w:space="0" w:color="auto"/>
            <w:left w:val="none" w:sz="0" w:space="0" w:color="auto"/>
            <w:bottom w:val="none" w:sz="0" w:space="0" w:color="auto"/>
            <w:right w:val="none" w:sz="0" w:space="0" w:color="auto"/>
          </w:divBdr>
        </w:div>
        <w:div w:id="401223529">
          <w:marLeft w:val="720"/>
          <w:marRight w:val="0"/>
          <w:marTop w:val="0"/>
          <w:marBottom w:val="60"/>
          <w:divBdr>
            <w:top w:val="none" w:sz="0" w:space="0" w:color="auto"/>
            <w:left w:val="none" w:sz="0" w:space="0" w:color="auto"/>
            <w:bottom w:val="none" w:sz="0" w:space="0" w:color="auto"/>
            <w:right w:val="none" w:sz="0" w:space="0" w:color="auto"/>
          </w:divBdr>
        </w:div>
        <w:div w:id="1625234992">
          <w:marLeft w:val="720"/>
          <w:marRight w:val="0"/>
          <w:marTop w:val="0"/>
          <w:marBottom w:val="60"/>
          <w:divBdr>
            <w:top w:val="none" w:sz="0" w:space="0" w:color="auto"/>
            <w:left w:val="none" w:sz="0" w:space="0" w:color="auto"/>
            <w:bottom w:val="none" w:sz="0" w:space="0" w:color="auto"/>
            <w:right w:val="none" w:sz="0" w:space="0" w:color="auto"/>
          </w:divBdr>
        </w:div>
      </w:divsChild>
    </w:div>
    <w:div w:id="1260985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C789A2-D907-4277-BF74-B0A63495D43C}">
  <we:reference id="55da0767-eb41-43c5-87ca-3799bace4589" version="1.0.1.0" store="EXCatalog" storeType="EXCatalog"/>
  <we:alternateReferences>
    <we:reference id="WA104380917" version="1.0.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D96CC0FC43363F4486EF125B20F142DD" ma:contentTypeVersion="13" ma:contentTypeDescription="Create a new document." ma:contentTypeScope="" ma:versionID="76376da4425270c5e8de56d6a1491260">
  <xsd:schema xmlns:xsd="http://www.w3.org/2001/XMLSchema" xmlns:xs="http://www.w3.org/2001/XMLSchema" xmlns:p="http://schemas.microsoft.com/office/2006/metadata/properties" xmlns:ns3="049c2de0-4c44-4bec-aa11-008a15ef5db0" xmlns:ns4="0ca66267-29c9-4f79-ad07-5fdfcb821135" targetNamespace="http://schemas.microsoft.com/office/2006/metadata/properties" ma:root="true" ma:fieldsID="e57926fedf8de957e34099befb03a631" ns3:_="" ns4:_="">
    <xsd:import namespace="049c2de0-4c44-4bec-aa11-008a15ef5db0"/>
    <xsd:import namespace="0ca66267-29c9-4f79-ad07-5fdfcb8211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2de0-4c44-4bec-aa11-008a15ef5d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66267-29c9-4f79-ad07-5fdfcb8211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6B7C67-4CE2-435A-A4D5-6B25D30D0DBE}">
  <ds:schemaRefs>
    <ds:schemaRef ds:uri="http://schemas.openxmlformats.org/officeDocument/2006/bibliography"/>
  </ds:schemaRefs>
</ds:datastoreItem>
</file>

<file path=customXml/itemProps2.xml><?xml version="1.0" encoding="utf-8"?>
<ds:datastoreItem xmlns:ds="http://schemas.openxmlformats.org/officeDocument/2006/customXml" ds:itemID="{612A3120-E172-44B5-9BF6-15F636D3E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2de0-4c44-4bec-aa11-008a15ef5db0"/>
    <ds:schemaRef ds:uri="0ca66267-29c9-4f79-ad07-5fdfcb82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400D9-090B-46C0-BAC0-A77685C9CD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D7C502-6ABA-4643-93DD-C78E783159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ISCR Template</Template>
  <TotalTime>19</TotalTime>
  <Pages>6</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Kirley</dc:creator>
  <cp:keywords/>
  <dc:description/>
  <cp:lastModifiedBy>Heidenrich, Christine (AHRQ/OC) (CTR)</cp:lastModifiedBy>
  <cp:revision>4</cp:revision>
  <dcterms:created xsi:type="dcterms:W3CDTF">2022-12-14T22:08:00Z</dcterms:created>
  <dcterms:modified xsi:type="dcterms:W3CDTF">2023-05-02T18:41:00Z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0x010100D96CC0FC43363F4486EF125B20F142DD</vt:lpwstr>
  </property>
</Properties>
</file>