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5D12" w14:textId="65446CB2" w:rsidR="002833BE" w:rsidRDefault="000B7142" w:rsidP="00E91444">
      <w:pPr>
        <w:pStyle w:val="Title"/>
      </w:pPr>
      <w:r w:rsidRPr="00491016">
        <w:rPr>
          <w:noProof/>
        </w:rPr>
        <mc:AlternateContent>
          <mc:Choice Requires="wps">
            <w:drawing>
              <wp:anchor distT="0" distB="0" distL="114300" distR="114300" simplePos="0" relativeHeight="251662336" behindDoc="0" locked="0" layoutInCell="1" allowOverlap="1" wp14:anchorId="2E41A760" wp14:editId="0D0AC880">
                <wp:simplePos x="0" y="0"/>
                <wp:positionH relativeFrom="column">
                  <wp:posOffset>-685800</wp:posOffset>
                </wp:positionH>
                <wp:positionV relativeFrom="paragraph">
                  <wp:posOffset>-914400</wp:posOffset>
                </wp:positionV>
                <wp:extent cx="7772400" cy="982478"/>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982478"/>
                        </a:xfrm>
                        <a:prstGeom prst="rect">
                          <a:avLst/>
                        </a:prstGeom>
                        <a:noFill/>
                        <a:ln w="6350">
                          <a:noFill/>
                        </a:ln>
                      </wps:spPr>
                      <wps:txbx>
                        <w:txbxContent>
                          <w:p w14:paraId="6BF045F6" w14:textId="77777777" w:rsidR="000B7142" w:rsidRDefault="00AF3052" w:rsidP="00AF3052">
                            <w:pPr>
                              <w:pStyle w:val="Headertitle"/>
                            </w:pPr>
                            <w:r w:rsidRPr="00AF3052">
                              <w:t xml:space="preserve">AHRQ Safety Program for Improving </w:t>
                            </w:r>
                          </w:p>
                          <w:p w14:paraId="361A7F8C" w14:textId="5E40830C" w:rsidR="0068281D" w:rsidRPr="00AF3052" w:rsidRDefault="00AF3052" w:rsidP="00AF3052">
                            <w:pPr>
                              <w:pStyle w:val="Headertitle"/>
                            </w:pPr>
                            <w:r w:rsidRPr="00AF3052">
                              <w:t>Surgical Care and 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1A760" id="_x0000_t202" coordsize="21600,21600" o:spt="202" path="m,l,21600r21600,l21600,xe">
                <v:stroke joinstyle="miter"/>
                <v:path gradientshapeok="t" o:connecttype="rect"/>
              </v:shapetype>
              <v:shape id="Text Box 3" o:spid="_x0000_s1026" type="#_x0000_t202" style="position:absolute;margin-left:-54pt;margin-top:-1in;width:612pt;height: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" filled="f" stroked="f" strokeweight=".5pt">
                <v:textbox>
                  <w:txbxContent>
                    <w:p w14:paraId="6BF045F6" w14:textId="77777777" w:rsidR="000B7142" w:rsidRDefault="00AF3052" w:rsidP="00AF3052">
                      <w:pPr>
                        <w:pStyle w:val="Headertitle"/>
                      </w:pPr>
                      <w:r w:rsidRPr="00AF3052">
                        <w:t xml:space="preserve">AHRQ Safety Program for Improving </w:t>
                      </w:r>
                    </w:p>
                    <w:p w14:paraId="361A7F8C" w14:textId="5E40830C" w:rsidR="0068281D" w:rsidRPr="00AF3052" w:rsidRDefault="00AF3052" w:rsidP="00AF3052">
                      <w:pPr>
                        <w:pStyle w:val="Headertitle"/>
                      </w:pPr>
                      <w:r w:rsidRPr="00AF3052">
                        <w:t>Surgical Care and Recovery</w:t>
                      </w:r>
                    </w:p>
                  </w:txbxContent>
                </v:textbox>
              </v:shape>
            </w:pict>
          </mc:Fallback>
        </mc:AlternateContent>
      </w:r>
      <w:r w:rsidR="00675A32">
        <w:rPr>
          <w:noProof/>
        </w:rPr>
        <w:t>Multimodal Analgesia Tips</w:t>
      </w:r>
      <w:r w:rsidR="00AF3052">
        <w:t>: Facilitator Guide</w:t>
      </w:r>
      <w:r w:rsidR="00840BDE">
        <w:tab/>
      </w:r>
    </w:p>
    <w:tbl>
      <w:tblPr>
        <w:tblStyle w:val="TableGrid"/>
        <w:tblW w:w="10165" w:type="dxa"/>
        <w:tblLook w:val="04A0" w:firstRow="1" w:lastRow="0" w:firstColumn="1" w:lastColumn="0" w:noHBand="0" w:noVBand="1"/>
      </w:tblPr>
      <w:tblGrid>
        <w:gridCol w:w="6115"/>
        <w:gridCol w:w="4050"/>
      </w:tblGrid>
      <w:tr w:rsidR="00CA4798" w14:paraId="1E0F38B0" w14:textId="77777777" w:rsidTr="009C66CE">
        <w:trPr>
          <w:cantSplit/>
          <w:tblHeader/>
        </w:trPr>
        <w:tc>
          <w:tcPr>
            <w:tcW w:w="6115" w:type="dxa"/>
            <w:shd w:val="clear" w:color="auto" w:fill="auto"/>
            <w:vAlign w:val="center"/>
          </w:tcPr>
          <w:p w14:paraId="6EE9DB49" w14:textId="6A046F73" w:rsidR="00F14BBA" w:rsidRDefault="00F14BBA" w:rsidP="00F14BBA">
            <w:pPr>
              <w:pStyle w:val="TableParagraph"/>
            </w:pPr>
            <w:r w:rsidRPr="00BF331D">
              <w:rPr>
                <w:b/>
                <w:bCs/>
                <w:sz w:val="24"/>
                <w:szCs w:val="24"/>
              </w:rPr>
              <w:t>Slide Title and Commentary</w:t>
            </w:r>
          </w:p>
        </w:tc>
        <w:tc>
          <w:tcPr>
            <w:tcW w:w="4050" w:type="dxa"/>
            <w:shd w:val="clear" w:color="auto" w:fill="auto"/>
            <w:vAlign w:val="center"/>
          </w:tcPr>
          <w:p w14:paraId="1C8E66EC" w14:textId="4734828B" w:rsidR="00F14BBA" w:rsidRDefault="00F14BBA" w:rsidP="00F14BBA">
            <w:pPr>
              <w:pStyle w:val="TableParagraph"/>
            </w:pPr>
            <w:r w:rsidRPr="00BF331D">
              <w:rPr>
                <w:b/>
                <w:bCs/>
                <w:sz w:val="24"/>
                <w:szCs w:val="24"/>
              </w:rPr>
              <w:t>Slide Number and Slide</w:t>
            </w:r>
          </w:p>
        </w:tc>
      </w:tr>
      <w:tr w:rsidR="00CA4798" w14:paraId="5FB78C98" w14:textId="77777777" w:rsidTr="009C66CE">
        <w:trPr>
          <w:cantSplit/>
        </w:trPr>
        <w:tc>
          <w:tcPr>
            <w:tcW w:w="6115" w:type="dxa"/>
          </w:tcPr>
          <w:p w14:paraId="6B15734F" w14:textId="79D1ED0A" w:rsidR="00F14BBA" w:rsidRPr="00550E76" w:rsidRDefault="00F14BBA" w:rsidP="00F14BBA">
            <w:pPr>
              <w:pStyle w:val="TableParagraph"/>
              <w:rPr>
                <w:b/>
              </w:rPr>
            </w:pPr>
            <w:r w:rsidRPr="00550E76">
              <w:rPr>
                <w:b/>
              </w:rPr>
              <w:t xml:space="preserve">Title slide: </w:t>
            </w:r>
            <w:r w:rsidR="00675A32">
              <w:rPr>
                <w:b/>
              </w:rPr>
              <w:t xml:space="preserve">Multimodal Analgesia Tips </w:t>
            </w:r>
          </w:p>
          <w:p w14:paraId="48FE8051" w14:textId="287F67D7" w:rsidR="00F14BBA" w:rsidRDefault="00F14BBA" w:rsidP="009C66CE">
            <w:pPr>
              <w:pStyle w:val="TableParagraph"/>
              <w:spacing w:after="120"/>
            </w:pPr>
            <w:r>
              <w:t xml:space="preserve">Hello and thank you for joining me. </w:t>
            </w:r>
            <w:r w:rsidRPr="00F14BBA">
              <w:t xml:space="preserve">Today </w:t>
            </w:r>
            <w:r w:rsidR="00675A32" w:rsidRPr="00675A32">
              <w:t xml:space="preserve">I will be providing some useful tips to help you adopt </w:t>
            </w:r>
            <w:r w:rsidR="005D566A">
              <w:t xml:space="preserve">multimodal analgesia </w:t>
            </w:r>
            <w:r w:rsidR="00675A32" w:rsidRPr="00675A32">
              <w:t xml:space="preserve">concepts </w:t>
            </w:r>
            <w:r w:rsidR="00675A32">
              <w:t xml:space="preserve">from </w:t>
            </w:r>
            <w:r>
              <w:t xml:space="preserve">the Agency for Healthcare Research and Quality, AHRQ, </w:t>
            </w:r>
            <w:r w:rsidR="005D566A">
              <w:t>S</w:t>
            </w:r>
            <w:r w:rsidRPr="00F14BBA">
              <w:t xml:space="preserve">afety </w:t>
            </w:r>
            <w:r w:rsidR="005D566A">
              <w:t>P</w:t>
            </w:r>
            <w:r w:rsidRPr="00F14BBA">
              <w:t xml:space="preserve">rogram for </w:t>
            </w:r>
            <w:r w:rsidR="005D566A">
              <w:t>I</w:t>
            </w:r>
            <w:r w:rsidRPr="00F14BBA">
              <w:t xml:space="preserve">mproving </w:t>
            </w:r>
            <w:r w:rsidR="005D566A">
              <w:t>S</w:t>
            </w:r>
            <w:r w:rsidRPr="00F14BBA">
              <w:t xml:space="preserve">urgical </w:t>
            </w:r>
            <w:r w:rsidR="005D566A">
              <w:t>C</w:t>
            </w:r>
            <w:r w:rsidRPr="00F14BBA">
              <w:t>are</w:t>
            </w:r>
            <w:r w:rsidR="005D566A">
              <w:t xml:space="preserve"> and</w:t>
            </w:r>
            <w:r w:rsidRPr="00F14BBA">
              <w:t xml:space="preserve"> </w:t>
            </w:r>
            <w:r w:rsidR="005D566A">
              <w:t>R</w:t>
            </w:r>
            <w:r w:rsidRPr="00F14BBA">
              <w:t>ecovery</w:t>
            </w:r>
            <w:r>
              <w:t>, or ISCR</w:t>
            </w:r>
            <w:r w:rsidR="00675A32">
              <w:t>, into your practice</w:t>
            </w:r>
            <w:r w:rsidR="00550E76">
              <w:t xml:space="preserve">. </w:t>
            </w:r>
            <w:r w:rsidR="005D566A">
              <w:t>These</w:t>
            </w:r>
            <w:r w:rsidR="00341AD2">
              <w:t xml:space="preserve"> concepts </w:t>
            </w:r>
            <w:r w:rsidR="005D566A">
              <w:t>were developed based on evidence reviews conducted for the ISCR program</w:t>
            </w:r>
            <w:r w:rsidR="00341AD2">
              <w:t xml:space="preserve"> as well as other enhanced</w:t>
            </w:r>
            <w:r w:rsidR="00F773AB">
              <w:t>-</w:t>
            </w:r>
            <w:r w:rsidR="00341AD2">
              <w:t>recovery reviews</w:t>
            </w:r>
            <w:r w:rsidR="00675A32">
              <w:t>.</w:t>
            </w:r>
            <w:r w:rsidR="00675A32" w:rsidRPr="00675A32">
              <w:t xml:space="preserve"> </w:t>
            </w:r>
          </w:p>
        </w:tc>
        <w:tc>
          <w:tcPr>
            <w:tcW w:w="4050" w:type="dxa"/>
          </w:tcPr>
          <w:p w14:paraId="5D581661" w14:textId="77777777" w:rsidR="00F14BBA" w:rsidRPr="009C66CE" w:rsidRDefault="00F14BBA" w:rsidP="00F14BBA">
            <w:pPr>
              <w:pStyle w:val="TableParagraph"/>
              <w:rPr>
                <w:b/>
                <w:bCs/>
              </w:rPr>
            </w:pPr>
            <w:r w:rsidRPr="009C66CE">
              <w:rPr>
                <w:b/>
                <w:bCs/>
              </w:rPr>
              <w:t>Slide 1</w:t>
            </w:r>
          </w:p>
          <w:p w14:paraId="668D8F19" w14:textId="665A5ADD" w:rsidR="00F92EE5" w:rsidRDefault="00F92EE5" w:rsidP="009C66CE">
            <w:pPr>
              <w:pStyle w:val="TableParagraph"/>
              <w:spacing w:after="120" w:line="240" w:lineRule="auto"/>
            </w:pPr>
            <w:r>
              <w:rPr>
                <w:noProof/>
              </w:rPr>
              <w:drawing>
                <wp:inline distT="0" distB="0" distL="0" distR="0" wp14:anchorId="335CAE79" wp14:editId="7C18FBAE">
                  <wp:extent cx="2286000" cy="1721529"/>
                  <wp:effectExtent l="0" t="0" r="0" b="0"/>
                  <wp:docPr id="1" name="Picture 1"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 1"/>
                          <pic:cNvPicPr/>
                        </pic:nvPicPr>
                        <pic:blipFill>
                          <a:blip r:embed="rId11"/>
                          <a:stretch>
                            <a:fillRect/>
                          </a:stretch>
                        </pic:blipFill>
                        <pic:spPr>
                          <a:xfrm>
                            <a:off x="0" y="0"/>
                            <a:ext cx="2286000" cy="1721529"/>
                          </a:xfrm>
                          <a:prstGeom prst="rect">
                            <a:avLst/>
                          </a:prstGeom>
                        </pic:spPr>
                      </pic:pic>
                    </a:graphicData>
                  </a:graphic>
                </wp:inline>
              </w:drawing>
            </w:r>
          </w:p>
        </w:tc>
      </w:tr>
      <w:tr w:rsidR="00CA4798" w14:paraId="1B462909" w14:textId="77777777" w:rsidTr="009C66CE">
        <w:trPr>
          <w:cantSplit/>
        </w:trPr>
        <w:tc>
          <w:tcPr>
            <w:tcW w:w="6115" w:type="dxa"/>
          </w:tcPr>
          <w:p w14:paraId="193BEA59" w14:textId="630BB87B" w:rsidR="00F14BBA" w:rsidRPr="00550E76" w:rsidRDefault="00675A32" w:rsidP="00F14BBA">
            <w:pPr>
              <w:pStyle w:val="TableParagraph"/>
              <w:rPr>
                <w:b/>
              </w:rPr>
            </w:pPr>
            <w:r>
              <w:rPr>
                <w:b/>
              </w:rPr>
              <w:t>Defining Multimodal Analgesia</w:t>
            </w:r>
          </w:p>
          <w:p w14:paraId="1F998D3F" w14:textId="5BECFFAE" w:rsidR="00550E76" w:rsidRDefault="00FB0E6E" w:rsidP="009C66CE">
            <w:pPr>
              <w:pStyle w:val="TableParagraph"/>
              <w:spacing w:after="120"/>
            </w:pPr>
            <w:r w:rsidRPr="00FB0E6E">
              <w:t xml:space="preserve">Multimodal analgesia, in essence, is the use of a combination of different drugs or techniques which will </w:t>
            </w:r>
            <w:r w:rsidR="00F6517B">
              <w:t xml:space="preserve">provide </w:t>
            </w:r>
            <w:r w:rsidRPr="00FB0E6E">
              <w:t xml:space="preserve">pain relief through different mechanisms or modes of action. Although </w:t>
            </w:r>
            <w:r w:rsidR="000141EC">
              <w:t xml:space="preserve">perioperative </w:t>
            </w:r>
            <w:r w:rsidRPr="00FB0E6E">
              <w:t>multimodal analgesia typically refers to the use of nonopioids, with the goal to minimize overall opioid use and therefore decrease opiate related side effects and facilitate patient recovery, strategic use of opioids, where necessary, are still appropriate if administered in a thoughtful fashion.</w:t>
            </w:r>
          </w:p>
        </w:tc>
        <w:tc>
          <w:tcPr>
            <w:tcW w:w="4050" w:type="dxa"/>
          </w:tcPr>
          <w:p w14:paraId="7040E281" w14:textId="77777777" w:rsidR="00F14BBA" w:rsidRPr="009C66CE" w:rsidRDefault="00F14BBA" w:rsidP="00F14BBA">
            <w:pPr>
              <w:pStyle w:val="TableParagraph"/>
              <w:rPr>
                <w:b/>
                <w:bCs/>
              </w:rPr>
            </w:pPr>
            <w:r w:rsidRPr="009C66CE">
              <w:rPr>
                <w:b/>
                <w:bCs/>
              </w:rPr>
              <w:t>Slide 2</w:t>
            </w:r>
          </w:p>
          <w:p w14:paraId="60CC5E2F" w14:textId="5218764D" w:rsidR="00CA4798" w:rsidRDefault="00CA4798" w:rsidP="009C66CE">
            <w:pPr>
              <w:pStyle w:val="TableParagraph"/>
              <w:spacing w:after="120" w:line="240" w:lineRule="auto"/>
            </w:pPr>
            <w:r>
              <w:rPr>
                <w:noProof/>
              </w:rPr>
              <w:drawing>
                <wp:inline distT="0" distB="0" distL="0" distR="0" wp14:anchorId="0F7F50F3" wp14:editId="2945F56A">
                  <wp:extent cx="2286000" cy="1725613"/>
                  <wp:effectExtent l="0" t="0" r="0" b="8255"/>
                  <wp:docPr id="2" name="Picture 2"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2"/>
                          <pic:cNvPicPr/>
                        </pic:nvPicPr>
                        <pic:blipFill>
                          <a:blip r:embed="rId12"/>
                          <a:stretch>
                            <a:fillRect/>
                          </a:stretch>
                        </pic:blipFill>
                        <pic:spPr>
                          <a:xfrm>
                            <a:off x="0" y="0"/>
                            <a:ext cx="2286000" cy="1725613"/>
                          </a:xfrm>
                          <a:prstGeom prst="rect">
                            <a:avLst/>
                          </a:prstGeom>
                        </pic:spPr>
                      </pic:pic>
                    </a:graphicData>
                  </a:graphic>
                </wp:inline>
              </w:drawing>
            </w:r>
          </w:p>
        </w:tc>
      </w:tr>
      <w:tr w:rsidR="00CA4798" w14:paraId="3BC633C2" w14:textId="77777777" w:rsidTr="009C66CE">
        <w:trPr>
          <w:cantSplit/>
        </w:trPr>
        <w:tc>
          <w:tcPr>
            <w:tcW w:w="6115" w:type="dxa"/>
          </w:tcPr>
          <w:p w14:paraId="77041966" w14:textId="77777777" w:rsidR="00FB0E6E" w:rsidRDefault="00FB0E6E" w:rsidP="00FB0E6E">
            <w:pPr>
              <w:pStyle w:val="TableParagraph"/>
              <w:rPr>
                <w:b/>
              </w:rPr>
            </w:pPr>
            <w:r w:rsidRPr="00FB0E6E">
              <w:rPr>
                <w:b/>
              </w:rPr>
              <w:t>Multimodal Analgesia Strategies</w:t>
            </w:r>
          </w:p>
          <w:p w14:paraId="6DA110B0" w14:textId="15645161" w:rsidR="00550E76" w:rsidRDefault="005469E8" w:rsidP="009C66CE">
            <w:pPr>
              <w:pStyle w:val="TableParagraph"/>
              <w:spacing w:after="120"/>
            </w:pPr>
            <w:r>
              <w:t>M</w:t>
            </w:r>
            <w:r w:rsidR="00FB0E6E" w:rsidRPr="00FB0E6E">
              <w:t>any commonly used analgesic agents and techniques</w:t>
            </w:r>
            <w:r w:rsidR="00DC0497">
              <w:t xml:space="preserve"> can be incorporated throughout each the perioperative phases of care, including the pre-, intra- and postoperative settings</w:t>
            </w:r>
            <w:r w:rsidR="00FB0E6E" w:rsidRPr="00FB0E6E">
              <w:t>. While we won't have time to discuss all of them, we'll try to hit some of the highlights</w:t>
            </w:r>
            <w:r w:rsidR="00F773AB">
              <w:t>. T</w:t>
            </w:r>
            <w:r w:rsidR="00FB0E6E" w:rsidRPr="00FB0E6E">
              <w:t xml:space="preserve">hese include: nonsteroidal anti-inflammatory </w:t>
            </w:r>
            <w:r w:rsidR="000141EC">
              <w:t xml:space="preserve">drugs </w:t>
            </w:r>
            <w:r w:rsidR="00FB0E6E" w:rsidRPr="00FB0E6E">
              <w:t xml:space="preserve">or NSAIDs, acetaminophen, </w:t>
            </w:r>
            <w:proofErr w:type="spellStart"/>
            <w:r w:rsidR="00FB0E6E" w:rsidRPr="00FB0E6E">
              <w:t>gabapentinoids</w:t>
            </w:r>
            <w:proofErr w:type="spellEnd"/>
            <w:r w:rsidR="00F773AB">
              <w:t>—</w:t>
            </w:r>
            <w:r w:rsidR="00FB0E6E" w:rsidRPr="00FB0E6E">
              <w:t xml:space="preserve">which may include gabapentin and </w:t>
            </w:r>
            <w:r w:rsidR="00FB0E6E" w:rsidRPr="000B7142">
              <w:t xml:space="preserve">pregabalin, </w:t>
            </w:r>
            <w:r w:rsidR="00DF5600" w:rsidRPr="000B7142">
              <w:t xml:space="preserve">other agents such as </w:t>
            </w:r>
            <w:r w:rsidR="00FB0E6E" w:rsidRPr="000B7142">
              <w:t xml:space="preserve">tramadol, ketamine, </w:t>
            </w:r>
            <w:r w:rsidR="00DF5600" w:rsidRPr="000B7142">
              <w:t xml:space="preserve">and </w:t>
            </w:r>
            <w:r w:rsidR="00FB0E6E" w:rsidRPr="000B7142">
              <w:t>dexmedetomidine</w:t>
            </w:r>
            <w:r w:rsidR="009B5581">
              <w:t xml:space="preserve">.  There are also various </w:t>
            </w:r>
            <w:r w:rsidR="00FB0E6E" w:rsidRPr="00FB0E6E">
              <w:t>regional analgesia techniques</w:t>
            </w:r>
            <w:r w:rsidR="006D4E40">
              <w:t xml:space="preserve"> </w:t>
            </w:r>
            <w:r w:rsidR="00FB0E6E" w:rsidRPr="00FB0E6E">
              <w:t xml:space="preserve">which may include neural axial </w:t>
            </w:r>
            <w:r w:rsidR="009B5581">
              <w:t>and</w:t>
            </w:r>
            <w:r w:rsidR="009B5581" w:rsidRPr="00FB0E6E">
              <w:t xml:space="preserve"> </w:t>
            </w:r>
            <w:r w:rsidR="00FB0E6E" w:rsidRPr="00FB0E6E">
              <w:t>peripheral nerve blocks.</w:t>
            </w:r>
          </w:p>
        </w:tc>
        <w:tc>
          <w:tcPr>
            <w:tcW w:w="4050" w:type="dxa"/>
          </w:tcPr>
          <w:p w14:paraId="62084125" w14:textId="77777777" w:rsidR="00F14BBA" w:rsidRPr="009C66CE" w:rsidRDefault="00F14BBA" w:rsidP="00F14BBA">
            <w:pPr>
              <w:pStyle w:val="TableParagraph"/>
              <w:rPr>
                <w:b/>
                <w:bCs/>
              </w:rPr>
            </w:pPr>
            <w:r w:rsidRPr="009C66CE">
              <w:rPr>
                <w:b/>
                <w:bCs/>
              </w:rPr>
              <w:t>Slide 3</w:t>
            </w:r>
          </w:p>
          <w:p w14:paraId="570A28A5" w14:textId="71D45689" w:rsidR="00CA4798" w:rsidRDefault="00CA4798" w:rsidP="009C66CE">
            <w:pPr>
              <w:pStyle w:val="TableParagraph"/>
              <w:spacing w:after="120" w:line="240" w:lineRule="auto"/>
            </w:pPr>
            <w:r>
              <w:rPr>
                <w:noProof/>
              </w:rPr>
              <w:drawing>
                <wp:inline distT="0" distB="0" distL="0" distR="0" wp14:anchorId="7A08C12C" wp14:editId="2F71A532">
                  <wp:extent cx="2286000" cy="1717902"/>
                  <wp:effectExtent l="0" t="0" r="0" b="0"/>
                  <wp:docPr id="10" name="Picture 10"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3"/>
                          <pic:cNvPicPr/>
                        </pic:nvPicPr>
                        <pic:blipFill>
                          <a:blip r:embed="rId13"/>
                          <a:stretch>
                            <a:fillRect/>
                          </a:stretch>
                        </pic:blipFill>
                        <pic:spPr>
                          <a:xfrm>
                            <a:off x="0" y="0"/>
                            <a:ext cx="2286000" cy="1717902"/>
                          </a:xfrm>
                          <a:prstGeom prst="rect">
                            <a:avLst/>
                          </a:prstGeom>
                        </pic:spPr>
                      </pic:pic>
                    </a:graphicData>
                  </a:graphic>
                </wp:inline>
              </w:drawing>
            </w:r>
          </w:p>
        </w:tc>
      </w:tr>
      <w:tr w:rsidR="00CA4798" w14:paraId="2BFC4765" w14:textId="77777777" w:rsidTr="009C66CE">
        <w:trPr>
          <w:cantSplit/>
        </w:trPr>
        <w:tc>
          <w:tcPr>
            <w:tcW w:w="6115" w:type="dxa"/>
          </w:tcPr>
          <w:p w14:paraId="1F9673C8" w14:textId="77777777" w:rsidR="00FB0E6E" w:rsidRDefault="00FB0E6E" w:rsidP="00F14BBA">
            <w:pPr>
              <w:pStyle w:val="TableParagraph"/>
              <w:rPr>
                <w:b/>
              </w:rPr>
            </w:pPr>
            <w:r w:rsidRPr="00FB0E6E">
              <w:rPr>
                <w:b/>
              </w:rPr>
              <w:lastRenderedPageBreak/>
              <w:t>NSAIDs and Acetaminophen</w:t>
            </w:r>
          </w:p>
          <w:p w14:paraId="3DBC6FF2" w14:textId="029700C8" w:rsidR="00550E76" w:rsidRDefault="00FB0E6E" w:rsidP="009C66CE">
            <w:pPr>
              <w:pStyle w:val="TableParagraph"/>
              <w:spacing w:after="120"/>
            </w:pPr>
            <w:r w:rsidRPr="00FB0E6E">
              <w:t xml:space="preserve">NSAIDs and acetaminophen are the backbone of the multimodal analgesic approach. They are most effective when administered </w:t>
            </w:r>
            <w:r w:rsidR="00DF5600" w:rsidRPr="000B7142">
              <w:t>o</w:t>
            </w:r>
            <w:r w:rsidRPr="000B7142">
              <w:t>n</w:t>
            </w:r>
            <w:r w:rsidRPr="00FB0E6E">
              <w:t xml:space="preserve"> a scheduled rather than</w:t>
            </w:r>
            <w:r w:rsidR="0059599A">
              <w:t xml:space="preserve"> on an as</w:t>
            </w:r>
            <w:r w:rsidR="00B56B70">
              <w:t>-</w:t>
            </w:r>
            <w:r w:rsidR="0059599A">
              <w:t>needed basis, or</w:t>
            </w:r>
            <w:r w:rsidRPr="00FB0E6E">
              <w:t xml:space="preserve"> PRN</w:t>
            </w:r>
            <w:r w:rsidR="0059599A">
              <w:t>,</w:t>
            </w:r>
            <w:r w:rsidRPr="00FB0E6E">
              <w:t xml:space="preserve"> and their combination provides at least an additive, if not synergistic</w:t>
            </w:r>
            <w:r w:rsidR="00F773AB">
              <w:t>,</w:t>
            </w:r>
            <w:r w:rsidRPr="00FB0E6E">
              <w:t xml:space="preserve"> effect on efficacy. Unles</w:t>
            </w:r>
            <w:r>
              <w:t>s</w:t>
            </w:r>
            <w:r w:rsidRPr="00FB0E6E">
              <w:t xml:space="preserve"> there are contraindications, for instance, hepatic insufficiency for acetaminophen, or history of severe renal or </w:t>
            </w:r>
            <w:r w:rsidR="00E91444">
              <w:t>gastrointestinal</w:t>
            </w:r>
            <w:r w:rsidR="00E91444" w:rsidRPr="00FB0E6E">
              <w:t xml:space="preserve"> </w:t>
            </w:r>
            <w:r w:rsidRPr="00FB0E6E">
              <w:t>bleeding issues for NSAIDs, your first</w:t>
            </w:r>
            <w:r w:rsidR="00F773AB">
              <w:t>-</w:t>
            </w:r>
            <w:r w:rsidRPr="00FB0E6E">
              <w:t>line agents for multimodal pain management should include these two agents.</w:t>
            </w:r>
          </w:p>
        </w:tc>
        <w:tc>
          <w:tcPr>
            <w:tcW w:w="4050" w:type="dxa"/>
          </w:tcPr>
          <w:p w14:paraId="76503962" w14:textId="77777777" w:rsidR="00F14BBA" w:rsidRPr="009C66CE" w:rsidRDefault="00F14BBA" w:rsidP="00F14BBA">
            <w:pPr>
              <w:pStyle w:val="TableParagraph"/>
              <w:rPr>
                <w:b/>
                <w:bCs/>
              </w:rPr>
            </w:pPr>
            <w:r w:rsidRPr="009C66CE">
              <w:rPr>
                <w:b/>
                <w:bCs/>
              </w:rPr>
              <w:t>Slide 4</w:t>
            </w:r>
          </w:p>
          <w:p w14:paraId="011F61EC" w14:textId="1CEAFB50" w:rsidR="00CA4798" w:rsidRDefault="00CA4798" w:rsidP="009C66CE">
            <w:pPr>
              <w:pStyle w:val="TableParagraph"/>
              <w:spacing w:after="120" w:line="240" w:lineRule="auto"/>
            </w:pPr>
            <w:r>
              <w:rPr>
                <w:noProof/>
              </w:rPr>
              <w:drawing>
                <wp:inline distT="0" distB="0" distL="0" distR="0" wp14:anchorId="7DB7E2AF" wp14:editId="55C28BD7">
                  <wp:extent cx="2286000" cy="1721531"/>
                  <wp:effectExtent l="0" t="0" r="0" b="0"/>
                  <wp:docPr id="6" name="Picture 6"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4"/>
                          <pic:cNvPicPr/>
                        </pic:nvPicPr>
                        <pic:blipFill>
                          <a:blip r:embed="rId14"/>
                          <a:stretch>
                            <a:fillRect/>
                          </a:stretch>
                        </pic:blipFill>
                        <pic:spPr>
                          <a:xfrm>
                            <a:off x="0" y="0"/>
                            <a:ext cx="2286000" cy="1721531"/>
                          </a:xfrm>
                          <a:prstGeom prst="rect">
                            <a:avLst/>
                          </a:prstGeom>
                        </pic:spPr>
                      </pic:pic>
                    </a:graphicData>
                  </a:graphic>
                </wp:inline>
              </w:drawing>
            </w:r>
          </w:p>
        </w:tc>
      </w:tr>
      <w:tr w:rsidR="00CA4798" w14:paraId="234FAC5B" w14:textId="77777777" w:rsidTr="009C66CE">
        <w:trPr>
          <w:cantSplit/>
        </w:trPr>
        <w:tc>
          <w:tcPr>
            <w:tcW w:w="6115" w:type="dxa"/>
          </w:tcPr>
          <w:p w14:paraId="463D431A" w14:textId="0538D1C4" w:rsidR="00F14BBA" w:rsidRPr="00550E76" w:rsidRDefault="00FB0E6E" w:rsidP="00F14BBA">
            <w:pPr>
              <w:pStyle w:val="TableParagraph"/>
              <w:rPr>
                <w:b/>
              </w:rPr>
            </w:pPr>
            <w:r>
              <w:rPr>
                <w:b/>
              </w:rPr>
              <w:t>Single-Dose Analgesics</w:t>
            </w:r>
          </w:p>
          <w:p w14:paraId="084BAB10" w14:textId="56DAD927" w:rsidR="00550E76" w:rsidRDefault="001E1010" w:rsidP="009C66CE">
            <w:pPr>
              <w:pStyle w:val="TableParagraph"/>
              <w:spacing w:after="120"/>
            </w:pPr>
            <w:r>
              <w:t>What</w:t>
            </w:r>
            <w:r w:rsidR="00FB0E6E" w:rsidRPr="00FB0E6E">
              <w:t xml:space="preserve"> is often misunderstood is </w:t>
            </w:r>
            <w:r>
              <w:t xml:space="preserve">how </w:t>
            </w:r>
            <w:r w:rsidR="00FB0E6E" w:rsidRPr="00FB0E6E">
              <w:t xml:space="preserve">effective NSAIDs and acetaminophen are for analgesia. </w:t>
            </w:r>
            <w:r w:rsidR="00EB6DE9">
              <w:t>This slide shows the relative potencies</w:t>
            </w:r>
            <w:r w:rsidR="003158AB">
              <w:t>, expressed as NNT or the number of patients needed to treat to achieve a meaningful reduction in pain,</w:t>
            </w:r>
            <w:r w:rsidR="00EB6DE9">
              <w:t xml:space="preserve"> of certain </w:t>
            </w:r>
            <w:r w:rsidR="00CE0C4E">
              <w:t>single</w:t>
            </w:r>
            <w:r w:rsidR="00F773AB">
              <w:t>-</w:t>
            </w:r>
            <w:r w:rsidR="00CE0C4E">
              <w:t>dose</w:t>
            </w:r>
            <w:r w:rsidR="001258E6">
              <w:t xml:space="preserve"> analgesics,</w:t>
            </w:r>
            <w:r w:rsidR="00CE0C4E">
              <w:t xml:space="preserve"> or </w:t>
            </w:r>
            <w:r w:rsidR="001258E6">
              <w:t>single</w:t>
            </w:r>
            <w:r w:rsidR="00F773AB">
              <w:t>-</w:t>
            </w:r>
            <w:r w:rsidR="001258E6">
              <w:t xml:space="preserve">dose combination </w:t>
            </w:r>
            <w:r w:rsidR="00EB6DE9">
              <w:t>analgesics</w:t>
            </w:r>
            <w:r w:rsidR="001258E6">
              <w:t xml:space="preserve"> in the case of codeine and acetaminophen</w:t>
            </w:r>
            <w:r w:rsidR="00EB6DE9">
              <w:t xml:space="preserve">. </w:t>
            </w:r>
            <w:r w:rsidR="003158AB">
              <w:t>For reference, an NNT less than 4</w:t>
            </w:r>
            <w:r w:rsidR="000B7142">
              <w:t xml:space="preserve"> </w:t>
            </w:r>
            <w:r w:rsidR="003158AB">
              <w:t xml:space="preserve">has strong efficacy for pain management. </w:t>
            </w:r>
            <w:r w:rsidR="00EB6DE9">
              <w:t xml:space="preserve">As you can see, </w:t>
            </w:r>
            <w:r w:rsidR="00257B52">
              <w:t xml:space="preserve">even though </w:t>
            </w:r>
            <w:r w:rsidR="00FE2502">
              <w:t>ibuprofen or acetaminophen are</w:t>
            </w:r>
            <w:r w:rsidR="00FB0E6E" w:rsidRPr="00FB0E6E">
              <w:t xml:space="preserve"> available over the counter, </w:t>
            </w:r>
            <w:r w:rsidR="00FE2502">
              <w:t>these agents are quite potent. In fact,</w:t>
            </w:r>
            <w:r w:rsidR="00FB0E6E" w:rsidRPr="00FB0E6E">
              <w:t xml:space="preserve"> </w:t>
            </w:r>
            <w:r w:rsidR="00257B52">
              <w:t xml:space="preserve">as indicated in the two red entries in the slide, </w:t>
            </w:r>
            <w:r w:rsidR="00FB0E6E" w:rsidRPr="00FB0E6E">
              <w:t>600</w:t>
            </w:r>
            <w:r w:rsidR="006D4E40">
              <w:t xml:space="preserve"> </w:t>
            </w:r>
            <w:r w:rsidR="00FB0E6E">
              <w:t>mg</w:t>
            </w:r>
            <w:r w:rsidR="00FB0E6E" w:rsidRPr="00FB0E6E">
              <w:t xml:space="preserve"> of ibuprofen </w:t>
            </w:r>
            <w:r w:rsidR="00844278">
              <w:t>provides</w:t>
            </w:r>
            <w:r w:rsidR="00FB0E6E" w:rsidRPr="00FB0E6E">
              <w:t xml:space="preserve"> </w:t>
            </w:r>
            <w:r w:rsidR="00FE2502">
              <w:t>similar</w:t>
            </w:r>
            <w:r w:rsidR="00FB0E6E" w:rsidRPr="00FB0E6E">
              <w:t xml:space="preserve"> </w:t>
            </w:r>
            <w:r>
              <w:t xml:space="preserve">pain </w:t>
            </w:r>
            <w:r w:rsidR="00FB0E6E" w:rsidRPr="00FB0E6E">
              <w:t xml:space="preserve">relief </w:t>
            </w:r>
            <w:r w:rsidR="00257B52">
              <w:t>to</w:t>
            </w:r>
            <w:r w:rsidR="00FB0E6E" w:rsidRPr="00FB0E6E">
              <w:t xml:space="preserve"> about </w:t>
            </w:r>
            <w:r w:rsidR="00B026CE">
              <w:t>15</w:t>
            </w:r>
            <w:r w:rsidR="006D4E40">
              <w:t xml:space="preserve"> </w:t>
            </w:r>
            <w:r w:rsidR="00FB0E6E">
              <w:t>mg</w:t>
            </w:r>
            <w:r w:rsidR="00FB0E6E" w:rsidRPr="00FB0E6E">
              <w:t xml:space="preserve"> of oxycodone</w:t>
            </w:r>
            <w:r w:rsidR="00FC047B">
              <w:t xml:space="preserve">. </w:t>
            </w:r>
            <w:r w:rsidR="00FE2502">
              <w:t xml:space="preserve">As a result, these medications are </w:t>
            </w:r>
            <w:r w:rsidR="00754C87">
              <w:t>as effective as opioids when provided in sufficient doses and should be considered</w:t>
            </w:r>
            <w:r w:rsidR="00FE2502">
              <w:t xml:space="preserve"> first</w:t>
            </w:r>
            <w:r w:rsidR="00257B52">
              <w:t>-</w:t>
            </w:r>
            <w:r w:rsidR="00FE2502">
              <w:t xml:space="preserve">line therapy for pain management. </w:t>
            </w:r>
          </w:p>
        </w:tc>
        <w:tc>
          <w:tcPr>
            <w:tcW w:w="4050" w:type="dxa"/>
          </w:tcPr>
          <w:p w14:paraId="6EAFC5C0" w14:textId="77777777" w:rsidR="00F14BBA" w:rsidRPr="009C66CE" w:rsidRDefault="00F14BBA" w:rsidP="00F14BBA">
            <w:pPr>
              <w:pStyle w:val="TableParagraph"/>
              <w:rPr>
                <w:b/>
                <w:bCs/>
              </w:rPr>
            </w:pPr>
            <w:r w:rsidRPr="009C66CE">
              <w:rPr>
                <w:b/>
                <w:bCs/>
              </w:rPr>
              <w:t>Slide 5</w:t>
            </w:r>
          </w:p>
          <w:p w14:paraId="59EE3AB9" w14:textId="5381A697" w:rsidR="00CA4798" w:rsidRDefault="00CA4798" w:rsidP="009C66CE">
            <w:pPr>
              <w:pStyle w:val="TableParagraph"/>
              <w:spacing w:after="120" w:line="240" w:lineRule="auto"/>
            </w:pPr>
            <w:r>
              <w:rPr>
                <w:noProof/>
              </w:rPr>
              <w:drawing>
                <wp:inline distT="0" distB="0" distL="0" distR="0" wp14:anchorId="2FE0C2C7" wp14:editId="0BC7F289">
                  <wp:extent cx="2286000" cy="1715181"/>
                  <wp:effectExtent l="0" t="0" r="0" b="0"/>
                  <wp:docPr id="9" name="Picture 9"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5"/>
                          <pic:cNvPicPr/>
                        </pic:nvPicPr>
                        <pic:blipFill>
                          <a:blip r:embed="rId15"/>
                          <a:stretch>
                            <a:fillRect/>
                          </a:stretch>
                        </pic:blipFill>
                        <pic:spPr>
                          <a:xfrm>
                            <a:off x="0" y="0"/>
                            <a:ext cx="2286000" cy="1715181"/>
                          </a:xfrm>
                          <a:prstGeom prst="rect">
                            <a:avLst/>
                          </a:prstGeom>
                        </pic:spPr>
                      </pic:pic>
                    </a:graphicData>
                  </a:graphic>
                </wp:inline>
              </w:drawing>
            </w:r>
          </w:p>
        </w:tc>
      </w:tr>
      <w:tr w:rsidR="00CA4798" w14:paraId="1144958E" w14:textId="77777777" w:rsidTr="009C66CE">
        <w:trPr>
          <w:cantSplit/>
        </w:trPr>
        <w:tc>
          <w:tcPr>
            <w:tcW w:w="6115" w:type="dxa"/>
          </w:tcPr>
          <w:p w14:paraId="19EB7A9C" w14:textId="04B5C93F" w:rsidR="00FB0E6E" w:rsidRDefault="00FB0E6E" w:rsidP="00F14BBA">
            <w:pPr>
              <w:pStyle w:val="TableParagraph"/>
              <w:rPr>
                <w:b/>
              </w:rPr>
            </w:pPr>
            <w:proofErr w:type="spellStart"/>
            <w:r w:rsidRPr="00FB0E6E">
              <w:rPr>
                <w:b/>
              </w:rPr>
              <w:lastRenderedPageBreak/>
              <w:t>Gabapentinoids</w:t>
            </w:r>
            <w:proofErr w:type="spellEnd"/>
            <w:r w:rsidRPr="00FB0E6E">
              <w:rPr>
                <w:b/>
              </w:rPr>
              <w:t xml:space="preserve"> </w:t>
            </w:r>
            <w:r w:rsidR="005469E8">
              <w:rPr>
                <w:b/>
              </w:rPr>
              <w:t>and</w:t>
            </w:r>
            <w:r w:rsidRPr="00FB0E6E">
              <w:rPr>
                <w:b/>
              </w:rPr>
              <w:t xml:space="preserve"> Tramadol</w:t>
            </w:r>
          </w:p>
          <w:p w14:paraId="2A9422A1" w14:textId="24827CEE" w:rsidR="00550E76" w:rsidRPr="00851F2D" w:rsidRDefault="00FB0E6E" w:rsidP="009C66CE">
            <w:pPr>
              <w:pStyle w:val="TableParagraph"/>
              <w:spacing w:after="120"/>
            </w:pPr>
            <w:r w:rsidRPr="00FB0E6E">
              <w:t xml:space="preserve">Two other commonly utilized agents include </w:t>
            </w:r>
            <w:proofErr w:type="spellStart"/>
            <w:r w:rsidRPr="00FB0E6E">
              <w:t>gabapentinoids</w:t>
            </w:r>
            <w:proofErr w:type="spellEnd"/>
            <w:r w:rsidRPr="00FB0E6E">
              <w:t xml:space="preserve"> (gabapentin/pregabalin) and tramadol. These are weaker analgesics, </w:t>
            </w:r>
            <w:r w:rsidR="00422595">
              <w:t>al</w:t>
            </w:r>
            <w:r w:rsidRPr="00FB0E6E">
              <w:t xml:space="preserve">though they may still play a role </w:t>
            </w:r>
            <w:r w:rsidR="00783D87">
              <w:t xml:space="preserve">in multimodal analgesia </w:t>
            </w:r>
            <w:r w:rsidRPr="00FB0E6E">
              <w:t>given</w:t>
            </w:r>
            <w:r w:rsidR="00422595">
              <w:t xml:space="preserve"> that </w:t>
            </w:r>
            <w:r w:rsidRPr="00FB0E6E">
              <w:t xml:space="preserve">their mechanism of action </w:t>
            </w:r>
            <w:r w:rsidR="00754C87">
              <w:t xml:space="preserve">differs from </w:t>
            </w:r>
            <w:r w:rsidR="00422595">
              <w:t>those of</w:t>
            </w:r>
            <w:r w:rsidR="00422595" w:rsidRPr="00FB0E6E">
              <w:t xml:space="preserve"> </w:t>
            </w:r>
            <w:r w:rsidR="00754C87">
              <w:t>other analgesics, including opioids</w:t>
            </w:r>
            <w:r w:rsidRPr="00FB0E6E">
              <w:t xml:space="preserve">. While these agents may play a role, their use comes with some important caveats. </w:t>
            </w:r>
            <w:proofErr w:type="spellStart"/>
            <w:r w:rsidRPr="00FB0E6E">
              <w:t>Gabapentanoids</w:t>
            </w:r>
            <w:proofErr w:type="spellEnd"/>
            <w:r w:rsidRPr="00FB0E6E">
              <w:t xml:space="preserve"> are renally excreted, </w:t>
            </w:r>
            <w:r w:rsidR="00754C87">
              <w:t>and</w:t>
            </w:r>
            <w:r w:rsidRPr="00FB0E6E">
              <w:t xml:space="preserve"> dosing should be adjusted based on a patient’s kidney function and age. They can also be very sedating</w:t>
            </w:r>
            <w:r w:rsidR="005469E8">
              <w:t>,</w:t>
            </w:r>
            <w:r w:rsidRPr="00FB0E6E">
              <w:t xml:space="preserve"> and a recent meta-analysis </w:t>
            </w:r>
            <w:r w:rsidR="00754C87">
              <w:t>revealed a significant</w:t>
            </w:r>
            <w:r w:rsidRPr="00FB0E6E">
              <w:t xml:space="preserve"> risk of respiratory depression</w:t>
            </w:r>
            <w:r w:rsidR="00754C87">
              <w:t xml:space="preserve"> with their use</w:t>
            </w:r>
            <w:r w:rsidRPr="00FB0E6E">
              <w:t xml:space="preserve">. Tramadol, which </w:t>
            </w:r>
            <w:r w:rsidR="00754C87">
              <w:t>has a weak</w:t>
            </w:r>
            <w:r w:rsidRPr="00FB0E6E">
              <w:t xml:space="preserve"> </w:t>
            </w:r>
            <w:r w:rsidR="00754C87">
              <w:t xml:space="preserve">opioid </w:t>
            </w:r>
            <w:r w:rsidRPr="00FB0E6E">
              <w:t>receptor activity</w:t>
            </w:r>
            <w:r w:rsidR="00754C87">
              <w:t xml:space="preserve"> </w:t>
            </w:r>
            <w:r w:rsidRPr="00FB0E6E">
              <w:t>compa</w:t>
            </w:r>
            <w:r w:rsidR="00754C87">
              <w:t>red to</w:t>
            </w:r>
            <w:r w:rsidRPr="00FB0E6E">
              <w:t xml:space="preserve"> morphine, </w:t>
            </w:r>
            <w:r w:rsidR="00754C87">
              <w:t>works</w:t>
            </w:r>
            <w:r w:rsidRPr="00FB0E6E">
              <w:t xml:space="preserve"> primarily through the blocka</w:t>
            </w:r>
            <w:r w:rsidR="006669D7">
              <w:t>d</w:t>
            </w:r>
            <w:r w:rsidRPr="00FB0E6E">
              <w:t xml:space="preserve">e of reuptake of serotonin and norepinephrine. As a result, tramadol </w:t>
            </w:r>
            <w:r w:rsidR="006669D7">
              <w:t xml:space="preserve">should be avoided in patients with a history of </w:t>
            </w:r>
            <w:r w:rsidRPr="00FB0E6E">
              <w:t xml:space="preserve">seizures </w:t>
            </w:r>
            <w:r w:rsidR="006669D7">
              <w:t>or those</w:t>
            </w:r>
            <w:r w:rsidRPr="00FB0E6E">
              <w:t xml:space="preserve"> taking </w:t>
            </w:r>
            <w:r w:rsidRPr="000B7142">
              <w:t xml:space="preserve">antidepressants such as </w:t>
            </w:r>
            <w:r w:rsidR="00103BAC" w:rsidRPr="000B7142">
              <w:t>selective serotonin reuptake inhibitors (</w:t>
            </w:r>
            <w:r w:rsidRPr="000B7142">
              <w:t>SSRIs</w:t>
            </w:r>
            <w:r w:rsidR="00103BAC" w:rsidRPr="000B7142">
              <w:t>)</w:t>
            </w:r>
            <w:r w:rsidR="002F1F91" w:rsidRPr="000B7142">
              <w:t xml:space="preserve">. </w:t>
            </w:r>
            <w:r w:rsidR="00DC1BFA" w:rsidRPr="000B7142">
              <w:t>The u</w:t>
            </w:r>
            <w:r w:rsidR="002F1F91" w:rsidRPr="000B7142">
              <w:t>se of tramadol in such patients may cause a life-threatening reaction called serotonin syndrome. In this situation, confusion, fever, hypertension</w:t>
            </w:r>
            <w:r w:rsidR="005469E8">
              <w:t>,</w:t>
            </w:r>
            <w:r w:rsidR="002F1F91" w:rsidRPr="000B7142">
              <w:t xml:space="preserve"> and high heart rate may result from </w:t>
            </w:r>
            <w:r w:rsidR="002F1F91" w:rsidRPr="000B7142">
              <w:rPr>
                <w:color w:val="201F1E"/>
                <w:shd w:val="clear" w:color="auto" w:fill="FFFFFF"/>
              </w:rPr>
              <w:t>the interaction between two serotonergic drugs that work by different mechanisms</w:t>
            </w:r>
            <w:r w:rsidR="002F1F91" w:rsidRPr="000B7142">
              <w:t>.</w:t>
            </w:r>
          </w:p>
        </w:tc>
        <w:tc>
          <w:tcPr>
            <w:tcW w:w="4050" w:type="dxa"/>
          </w:tcPr>
          <w:p w14:paraId="0E02BC77" w14:textId="77777777" w:rsidR="00F14BBA" w:rsidRPr="009C66CE" w:rsidRDefault="00F14BBA" w:rsidP="00F14BBA">
            <w:pPr>
              <w:pStyle w:val="TableParagraph"/>
              <w:rPr>
                <w:b/>
                <w:bCs/>
              </w:rPr>
            </w:pPr>
            <w:r w:rsidRPr="009C66CE">
              <w:rPr>
                <w:b/>
                <w:bCs/>
              </w:rPr>
              <w:t>Slide 6</w:t>
            </w:r>
          </w:p>
          <w:p w14:paraId="3BFDC392" w14:textId="07EFA0AF" w:rsidR="00CA4798" w:rsidRDefault="00CA4798" w:rsidP="009C66CE">
            <w:pPr>
              <w:pStyle w:val="TableParagraph"/>
              <w:spacing w:after="120" w:line="240" w:lineRule="auto"/>
            </w:pPr>
            <w:r>
              <w:rPr>
                <w:noProof/>
              </w:rPr>
              <w:drawing>
                <wp:inline distT="0" distB="0" distL="0" distR="0" wp14:anchorId="0EF41EF6" wp14:editId="0BA06914">
                  <wp:extent cx="2286000" cy="1718588"/>
                  <wp:effectExtent l="0" t="0" r="0" b="0"/>
                  <wp:docPr id="8" name="Picture 8"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6"/>
                          <pic:cNvPicPr/>
                        </pic:nvPicPr>
                        <pic:blipFill>
                          <a:blip r:embed="rId16"/>
                          <a:stretch>
                            <a:fillRect/>
                          </a:stretch>
                        </pic:blipFill>
                        <pic:spPr>
                          <a:xfrm>
                            <a:off x="0" y="0"/>
                            <a:ext cx="2286000" cy="1718588"/>
                          </a:xfrm>
                          <a:prstGeom prst="rect">
                            <a:avLst/>
                          </a:prstGeom>
                        </pic:spPr>
                      </pic:pic>
                    </a:graphicData>
                  </a:graphic>
                </wp:inline>
              </w:drawing>
            </w:r>
          </w:p>
        </w:tc>
      </w:tr>
      <w:tr w:rsidR="00CA4798" w14:paraId="288A36EF" w14:textId="77777777" w:rsidTr="009C66CE">
        <w:trPr>
          <w:cantSplit/>
        </w:trPr>
        <w:tc>
          <w:tcPr>
            <w:tcW w:w="6115" w:type="dxa"/>
          </w:tcPr>
          <w:p w14:paraId="26174F08" w14:textId="4B546CFC" w:rsidR="00FB0E6E" w:rsidRDefault="00FB0E6E" w:rsidP="00F14BBA">
            <w:pPr>
              <w:pStyle w:val="TableParagraph"/>
              <w:rPr>
                <w:b/>
              </w:rPr>
            </w:pPr>
            <w:r w:rsidRPr="00FB0E6E">
              <w:rPr>
                <w:b/>
              </w:rPr>
              <w:lastRenderedPageBreak/>
              <w:t xml:space="preserve">Ketamine </w:t>
            </w:r>
            <w:r w:rsidR="005469E8">
              <w:rPr>
                <w:b/>
              </w:rPr>
              <w:t>and</w:t>
            </w:r>
            <w:r w:rsidRPr="00FB0E6E">
              <w:rPr>
                <w:b/>
              </w:rPr>
              <w:t xml:space="preserve"> Dexmedetomidine</w:t>
            </w:r>
          </w:p>
          <w:p w14:paraId="6B7AB706" w14:textId="146E2F35" w:rsidR="00FB0E6E" w:rsidRPr="000B7142" w:rsidRDefault="001131FC" w:rsidP="00F14BBA">
            <w:pPr>
              <w:pStyle w:val="TableParagraph"/>
            </w:pPr>
            <w:r>
              <w:t>The majority of peri</w:t>
            </w:r>
            <w:r w:rsidR="00E14EDB">
              <w:t>o</w:t>
            </w:r>
            <w:r>
              <w:t xml:space="preserve">perative pain can be reasonably managed with the use of the agents we have already mentioned. However, if pain remains poorly managed or patients present with a history of chronic opioid use, additional medications can </w:t>
            </w:r>
            <w:proofErr w:type="gramStart"/>
            <w:r>
              <w:t>employed</w:t>
            </w:r>
            <w:proofErr w:type="gramEnd"/>
            <w:r>
              <w:t xml:space="preserve">. </w:t>
            </w:r>
            <w:r w:rsidR="00FB0E6E" w:rsidRPr="00FB0E6E">
              <w:t>Ketamine, an</w:t>
            </w:r>
            <w:r w:rsidR="00103BAC">
              <w:t xml:space="preserve"> </w:t>
            </w:r>
            <w:r w:rsidR="00103BAC" w:rsidRPr="00103BAC">
              <w:t>N-methyl-D-aspartate</w:t>
            </w:r>
            <w:r w:rsidR="00FB0E6E" w:rsidRPr="00FB0E6E">
              <w:t xml:space="preserve"> </w:t>
            </w:r>
            <w:r w:rsidR="00103BAC">
              <w:t>(</w:t>
            </w:r>
            <w:r w:rsidR="00FB0E6E" w:rsidRPr="00FB0E6E">
              <w:t>NMDA</w:t>
            </w:r>
            <w:r w:rsidR="00103BAC">
              <w:t>)</w:t>
            </w:r>
            <w:r w:rsidR="00FB0E6E" w:rsidRPr="00FB0E6E">
              <w:t xml:space="preserve"> receptor </w:t>
            </w:r>
            <w:r w:rsidR="00FB0E6E" w:rsidRPr="000B7142">
              <w:t>antagonist, is typically provided as a low</w:t>
            </w:r>
            <w:r w:rsidR="005469E8">
              <w:t>-</w:t>
            </w:r>
            <w:r w:rsidR="00FB0E6E" w:rsidRPr="000B7142">
              <w:t>dose infusion to avoid side effects</w:t>
            </w:r>
            <w:r w:rsidR="00DC1BFA" w:rsidRPr="000B7142">
              <w:t xml:space="preserve">. The most troubling of these is hallucinations, which may occur when ketamine is administered at excessive levels.  </w:t>
            </w:r>
            <w:r w:rsidR="00FB0E6E" w:rsidRPr="000B7142">
              <w:t xml:space="preserve">  </w:t>
            </w:r>
          </w:p>
          <w:p w14:paraId="0F2A1014" w14:textId="730A3989" w:rsidR="00550E76" w:rsidRDefault="00FB0E6E" w:rsidP="009C66CE">
            <w:pPr>
              <w:pStyle w:val="TableParagraph"/>
              <w:spacing w:after="120"/>
            </w:pPr>
            <w:r w:rsidRPr="000B7142">
              <w:t>Dexmedetomidine, whos</w:t>
            </w:r>
            <w:r w:rsidR="0041254B" w:rsidRPr="000B7142">
              <w:t>e</w:t>
            </w:r>
            <w:r w:rsidRPr="000B7142">
              <w:t xml:space="preserve"> alpha2 agonist action closely mimics that of clonidine, has been shown to reduce opioid requirements </w:t>
            </w:r>
            <w:r w:rsidR="006F76E1" w:rsidRPr="000B7142">
              <w:t>when administered as a low</w:t>
            </w:r>
            <w:r w:rsidR="005469E8">
              <w:t>-</w:t>
            </w:r>
            <w:r w:rsidR="006F76E1" w:rsidRPr="000B7142">
              <w:t>dose, titratable infusion</w:t>
            </w:r>
            <w:r w:rsidRPr="000B7142">
              <w:t>. Its primary side effect</w:t>
            </w:r>
            <w:r w:rsidR="00DC1BFA" w:rsidRPr="000B7142">
              <w:t>s</w:t>
            </w:r>
            <w:r w:rsidRPr="000B7142">
              <w:t xml:space="preserve"> include hemodynamic</w:t>
            </w:r>
            <w:r w:rsidRPr="00FB0E6E">
              <w:t xml:space="preserve"> instability, particularly when provided as a bolus rather than an infusion. Both </w:t>
            </w:r>
            <w:r w:rsidR="006F76E1">
              <w:t xml:space="preserve">ketamine and dexmedetomidine </w:t>
            </w:r>
            <w:r w:rsidRPr="00FB0E6E">
              <w:t>are best administered under the close guidance of pain management professionals and</w:t>
            </w:r>
            <w:r w:rsidR="006F76E1">
              <w:t>, as mentioned,</w:t>
            </w:r>
            <w:r w:rsidRPr="00FB0E6E">
              <w:t xml:space="preserve"> are best applied when pain is poorly controlled using first- or second-line agents.  </w:t>
            </w:r>
          </w:p>
        </w:tc>
        <w:tc>
          <w:tcPr>
            <w:tcW w:w="4050" w:type="dxa"/>
          </w:tcPr>
          <w:p w14:paraId="5C44FE03" w14:textId="77777777" w:rsidR="00F14BBA" w:rsidRPr="009C66CE" w:rsidRDefault="00F14BBA" w:rsidP="00F14BBA">
            <w:pPr>
              <w:pStyle w:val="TableParagraph"/>
              <w:rPr>
                <w:b/>
                <w:bCs/>
              </w:rPr>
            </w:pPr>
            <w:r w:rsidRPr="009C66CE">
              <w:rPr>
                <w:b/>
                <w:bCs/>
              </w:rPr>
              <w:t>Slide 7</w:t>
            </w:r>
          </w:p>
          <w:p w14:paraId="5BB7782D" w14:textId="47C1FC25" w:rsidR="00CA4798" w:rsidRDefault="00CA4798" w:rsidP="009C66CE">
            <w:pPr>
              <w:pStyle w:val="TableParagraph"/>
              <w:spacing w:after="120" w:line="240" w:lineRule="auto"/>
            </w:pPr>
            <w:r>
              <w:rPr>
                <w:noProof/>
              </w:rPr>
              <w:drawing>
                <wp:inline distT="0" distB="0" distL="0" distR="0" wp14:anchorId="77F2E67D" wp14:editId="1E0FA3E6">
                  <wp:extent cx="2286000" cy="1717902"/>
                  <wp:effectExtent l="0" t="0" r="0" b="0"/>
                  <wp:docPr id="11" name="Picture 11"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7"/>
                          <pic:cNvPicPr/>
                        </pic:nvPicPr>
                        <pic:blipFill>
                          <a:blip r:embed="rId17"/>
                          <a:stretch>
                            <a:fillRect/>
                          </a:stretch>
                        </pic:blipFill>
                        <pic:spPr>
                          <a:xfrm>
                            <a:off x="0" y="0"/>
                            <a:ext cx="2286000" cy="1717902"/>
                          </a:xfrm>
                          <a:prstGeom prst="rect">
                            <a:avLst/>
                          </a:prstGeom>
                        </pic:spPr>
                      </pic:pic>
                    </a:graphicData>
                  </a:graphic>
                </wp:inline>
              </w:drawing>
            </w:r>
          </w:p>
        </w:tc>
      </w:tr>
      <w:tr w:rsidR="00CA4798" w14:paraId="561032C6" w14:textId="77777777" w:rsidTr="009C66CE">
        <w:trPr>
          <w:cantSplit/>
        </w:trPr>
        <w:tc>
          <w:tcPr>
            <w:tcW w:w="6115" w:type="dxa"/>
          </w:tcPr>
          <w:p w14:paraId="33B84607" w14:textId="18D6A9E7" w:rsidR="00FB0E6E" w:rsidRPr="00FB0E6E" w:rsidRDefault="00FB0E6E" w:rsidP="00F14BBA">
            <w:pPr>
              <w:pStyle w:val="TableParagraph"/>
              <w:rPr>
                <w:b/>
              </w:rPr>
            </w:pPr>
            <w:r w:rsidRPr="00FB0E6E">
              <w:rPr>
                <w:b/>
              </w:rPr>
              <w:t>Regional Analgesic Techniques</w:t>
            </w:r>
          </w:p>
          <w:p w14:paraId="215FBD8B" w14:textId="7B2E98AD" w:rsidR="00FB0E6E" w:rsidRPr="00FB0E6E" w:rsidRDefault="00FB0E6E" w:rsidP="009C66CE">
            <w:pPr>
              <w:pStyle w:val="TableParagraph"/>
              <w:spacing w:after="120"/>
            </w:pPr>
            <w:r w:rsidRPr="00FB0E6E">
              <w:t xml:space="preserve">Finally, no discussion of multimodal analgesia is complete without mentioning regional analgesia, which includes both neuraxial (epidural and spinal) and </w:t>
            </w:r>
            <w:r w:rsidRPr="000B7142">
              <w:t xml:space="preserve">peripheral nerve block techniques. The data consistently show that these </w:t>
            </w:r>
            <w:r w:rsidR="00FC6549" w:rsidRPr="000B7142">
              <w:t xml:space="preserve">techniques </w:t>
            </w:r>
            <w:r w:rsidRPr="000B7142">
              <w:t xml:space="preserve">provide superior pain control while minimizing </w:t>
            </w:r>
            <w:r w:rsidR="00422595" w:rsidRPr="000B7142">
              <w:t xml:space="preserve">the need for </w:t>
            </w:r>
            <w:r w:rsidRPr="000B7142">
              <w:t>opioid</w:t>
            </w:r>
            <w:r w:rsidR="00422595" w:rsidRPr="000B7142">
              <w:t xml:space="preserve"> u</w:t>
            </w:r>
            <w:r w:rsidRPr="000B7142">
              <w:t>s</w:t>
            </w:r>
            <w:r w:rsidR="00422595" w:rsidRPr="000B7142">
              <w:t>e</w:t>
            </w:r>
            <w:r w:rsidRPr="000B7142">
              <w:t xml:space="preserve">. Typically, these regional analgesic techniques include primarily </w:t>
            </w:r>
            <w:r w:rsidR="00422595" w:rsidRPr="000B7142">
              <w:t xml:space="preserve">using </w:t>
            </w:r>
            <w:r w:rsidRPr="000B7142">
              <w:t xml:space="preserve">local anesthetic </w:t>
            </w:r>
            <w:r w:rsidR="00DC1BFA" w:rsidRPr="000B7142">
              <w:t>that can be administered at the site as a single dose</w:t>
            </w:r>
            <w:r w:rsidRPr="000B7142">
              <w:t xml:space="preserve"> or </w:t>
            </w:r>
            <w:r w:rsidR="00422595" w:rsidRPr="000B7142">
              <w:t xml:space="preserve">using </w:t>
            </w:r>
            <w:r w:rsidRPr="000B7142">
              <w:t>catheter-based technique</w:t>
            </w:r>
            <w:r w:rsidR="00422595" w:rsidRPr="000B7142">
              <w:t>s</w:t>
            </w:r>
            <w:r w:rsidRPr="000B7142">
              <w:t xml:space="preserve">. Catheter-based regional analgesia thus provides a </w:t>
            </w:r>
            <w:r w:rsidR="00E91444" w:rsidRPr="000B7142">
              <w:t>long-term</w:t>
            </w:r>
            <w:r w:rsidRPr="000B7142">
              <w:t xml:space="preserve"> benefit. Particularly for</w:t>
            </w:r>
            <w:r w:rsidRPr="00FB0E6E">
              <w:t xml:space="preserve"> neuraxial regional</w:t>
            </w:r>
            <w:r w:rsidR="00BB11AB">
              <w:t xml:space="preserve"> pain control</w:t>
            </w:r>
            <w:r w:rsidRPr="00FB0E6E">
              <w:t xml:space="preserve">, providers must be aware of the concurrent use of anticoagulation (even </w:t>
            </w:r>
            <w:r w:rsidR="00103BAC">
              <w:t>v</w:t>
            </w:r>
            <w:r w:rsidR="00103BAC" w:rsidRPr="00103BAC">
              <w:t>enous thromboembolism</w:t>
            </w:r>
            <w:r w:rsidR="00103BAC">
              <w:t xml:space="preserve"> </w:t>
            </w:r>
            <w:r w:rsidRPr="00FB0E6E">
              <w:t>prophylaxis) because it can potentially cause devastating neurological injury in the form of epidural hematoma.</w:t>
            </w:r>
          </w:p>
        </w:tc>
        <w:tc>
          <w:tcPr>
            <w:tcW w:w="4050" w:type="dxa"/>
          </w:tcPr>
          <w:p w14:paraId="34FCD21A" w14:textId="77777777" w:rsidR="00FB0E6E" w:rsidRPr="009C66CE" w:rsidRDefault="003A52AA" w:rsidP="00F14BBA">
            <w:pPr>
              <w:pStyle w:val="TableParagraph"/>
              <w:rPr>
                <w:b/>
                <w:bCs/>
              </w:rPr>
            </w:pPr>
            <w:r w:rsidRPr="009C66CE">
              <w:rPr>
                <w:b/>
                <w:bCs/>
              </w:rPr>
              <w:t>Slide 8</w:t>
            </w:r>
          </w:p>
          <w:p w14:paraId="70F73098" w14:textId="45D52585" w:rsidR="00CA4798" w:rsidRDefault="00CA4798" w:rsidP="009C66CE">
            <w:pPr>
              <w:pStyle w:val="TableParagraph"/>
              <w:spacing w:after="120" w:line="240" w:lineRule="auto"/>
            </w:pPr>
            <w:r>
              <w:rPr>
                <w:noProof/>
              </w:rPr>
              <w:drawing>
                <wp:inline distT="0" distB="0" distL="0" distR="0" wp14:anchorId="1D0D44C6" wp14:editId="0F886C98">
                  <wp:extent cx="2286000" cy="1725613"/>
                  <wp:effectExtent l="0" t="0" r="0" b="8255"/>
                  <wp:docPr id="12" name="Picture 12"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8"/>
                          <pic:cNvPicPr/>
                        </pic:nvPicPr>
                        <pic:blipFill>
                          <a:blip r:embed="rId18"/>
                          <a:stretch>
                            <a:fillRect/>
                          </a:stretch>
                        </pic:blipFill>
                        <pic:spPr>
                          <a:xfrm>
                            <a:off x="0" y="0"/>
                            <a:ext cx="2286000" cy="1725613"/>
                          </a:xfrm>
                          <a:prstGeom prst="rect">
                            <a:avLst/>
                          </a:prstGeom>
                        </pic:spPr>
                      </pic:pic>
                    </a:graphicData>
                  </a:graphic>
                </wp:inline>
              </w:drawing>
            </w:r>
          </w:p>
        </w:tc>
      </w:tr>
      <w:tr w:rsidR="00CA4798" w14:paraId="66383D6D" w14:textId="77777777" w:rsidTr="009C66CE">
        <w:trPr>
          <w:cantSplit/>
        </w:trPr>
        <w:tc>
          <w:tcPr>
            <w:tcW w:w="6115" w:type="dxa"/>
          </w:tcPr>
          <w:p w14:paraId="38DB9020" w14:textId="77777777" w:rsidR="00550E76" w:rsidRPr="00FB0E6E" w:rsidRDefault="00550E76" w:rsidP="00F14BBA">
            <w:pPr>
              <w:pStyle w:val="TableParagraph"/>
              <w:rPr>
                <w:b/>
              </w:rPr>
            </w:pPr>
            <w:r w:rsidRPr="00FB0E6E">
              <w:rPr>
                <w:b/>
              </w:rPr>
              <w:lastRenderedPageBreak/>
              <w:t>Final Thoughts</w:t>
            </w:r>
          </w:p>
          <w:p w14:paraId="7F6C3EBA" w14:textId="4EE4FCE5" w:rsidR="00FB0E6E" w:rsidRDefault="00FB0E6E" w:rsidP="00FB0E6E">
            <w:pPr>
              <w:pStyle w:val="TableParagraph"/>
            </w:pPr>
            <w:r w:rsidRPr="00FB0E6E">
              <w:t>In closing, multimodal analgesia has been shown to provide better pain control than single</w:t>
            </w:r>
            <w:r w:rsidR="005469E8">
              <w:t>-</w:t>
            </w:r>
            <w:r w:rsidRPr="00FB0E6E">
              <w:t>agent alternatives while minimizing opiate</w:t>
            </w:r>
            <w:r w:rsidR="005469E8">
              <w:t>-</w:t>
            </w:r>
            <w:r w:rsidRPr="00FB0E6E">
              <w:t xml:space="preserve">related side effects and facilitating patient recovery. </w:t>
            </w:r>
          </w:p>
          <w:p w14:paraId="5E3AEB3E" w14:textId="1C1FEC7C" w:rsidR="00FB0E6E" w:rsidRDefault="00FB0E6E" w:rsidP="00FB0E6E">
            <w:pPr>
              <w:pStyle w:val="TableParagraph"/>
            </w:pPr>
            <w:r w:rsidRPr="00FB0E6E">
              <w:t>Remember that each agent and technique have a unique benefit</w:t>
            </w:r>
            <w:r w:rsidR="005469E8">
              <w:t>-</w:t>
            </w:r>
            <w:r w:rsidRPr="00FB0E6E">
              <w:t>to</w:t>
            </w:r>
            <w:r w:rsidR="005469E8">
              <w:t>-</w:t>
            </w:r>
            <w:r w:rsidRPr="00FB0E6E">
              <w:t xml:space="preserve">risk profile, which should be tailored to each individual's patient's needs. </w:t>
            </w:r>
          </w:p>
          <w:p w14:paraId="6F95F3F2" w14:textId="7F29307E" w:rsidR="00550E76" w:rsidRDefault="00FB0E6E" w:rsidP="000B7142">
            <w:pPr>
              <w:pStyle w:val="TableParagraph"/>
            </w:pPr>
            <w:r w:rsidRPr="00FB0E6E">
              <w:t xml:space="preserve">For additional information on </w:t>
            </w:r>
            <w:r w:rsidR="00103BAC">
              <w:t xml:space="preserve">multimodal analgesia </w:t>
            </w:r>
            <w:r w:rsidRPr="00FB0E6E">
              <w:t xml:space="preserve">options, please read the various </w:t>
            </w:r>
            <w:r>
              <w:t>e</w:t>
            </w:r>
            <w:r w:rsidRPr="00FB0E6E">
              <w:t xml:space="preserve">vidence </w:t>
            </w:r>
            <w:r>
              <w:t>r</w:t>
            </w:r>
            <w:r w:rsidRPr="00FB0E6E">
              <w:t xml:space="preserve">eviews conducted </w:t>
            </w:r>
            <w:r>
              <w:t>by the AHRQ Safety Program for</w:t>
            </w:r>
            <w:r w:rsidRPr="00FB0E6E">
              <w:t xml:space="preserve"> Improving Surgical and Recovery Program</w:t>
            </w:r>
            <w:r w:rsidR="00103BAC">
              <w:t xml:space="preserve">, listed on the </w:t>
            </w:r>
            <w:r w:rsidR="00DD2410">
              <w:t>reference</w:t>
            </w:r>
            <w:r w:rsidR="005469E8">
              <w:t>s</w:t>
            </w:r>
            <w:r w:rsidR="00DD2410">
              <w:t xml:space="preserve"> slide</w:t>
            </w:r>
            <w:r w:rsidR="00103BAC">
              <w:t>,</w:t>
            </w:r>
            <w:r w:rsidRPr="00FB0E6E">
              <w:t xml:space="preserve"> and </w:t>
            </w:r>
            <w:r w:rsidRPr="0043029A">
              <w:t xml:space="preserve">visit the </w:t>
            </w:r>
            <w:hyperlink r:id="rId19" w:history="1">
              <w:r w:rsidRPr="00AD5D42">
                <w:rPr>
                  <w:rStyle w:val="Hyperlink"/>
                </w:rPr>
                <w:t>toolkit website</w:t>
              </w:r>
            </w:hyperlink>
            <w:r w:rsidR="000518F4">
              <w:t xml:space="preserve"> for more resources to help you implement your ISCR program.</w:t>
            </w:r>
            <w:r w:rsidRPr="0043029A">
              <w:t xml:space="preserve"> </w:t>
            </w:r>
          </w:p>
        </w:tc>
        <w:tc>
          <w:tcPr>
            <w:tcW w:w="4050" w:type="dxa"/>
          </w:tcPr>
          <w:p w14:paraId="1FCF4033" w14:textId="77777777" w:rsidR="00550E76" w:rsidRPr="009C66CE" w:rsidRDefault="00550E76" w:rsidP="00F14BBA">
            <w:pPr>
              <w:pStyle w:val="TableParagraph"/>
              <w:rPr>
                <w:b/>
                <w:bCs/>
              </w:rPr>
            </w:pPr>
            <w:r w:rsidRPr="009C66CE">
              <w:rPr>
                <w:b/>
                <w:bCs/>
              </w:rPr>
              <w:t xml:space="preserve">Slide </w:t>
            </w:r>
            <w:r w:rsidR="003A52AA" w:rsidRPr="009C66CE">
              <w:rPr>
                <w:b/>
                <w:bCs/>
              </w:rPr>
              <w:t>9</w:t>
            </w:r>
          </w:p>
          <w:p w14:paraId="66BC7097" w14:textId="5131AAC6" w:rsidR="00CA4798" w:rsidRDefault="00CA4798" w:rsidP="009C66CE">
            <w:pPr>
              <w:pStyle w:val="TableParagraph"/>
              <w:spacing w:after="120" w:line="240" w:lineRule="auto"/>
            </w:pPr>
            <w:r>
              <w:rPr>
                <w:noProof/>
              </w:rPr>
              <w:drawing>
                <wp:inline distT="0" distB="0" distL="0" distR="0" wp14:anchorId="7971448B" wp14:editId="4901D0F3">
                  <wp:extent cx="2286000" cy="1716540"/>
                  <wp:effectExtent l="0" t="0" r="0" b="0"/>
                  <wp:docPr id="13" name="Picture 13"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9"/>
                          <pic:cNvPicPr/>
                        </pic:nvPicPr>
                        <pic:blipFill>
                          <a:blip r:embed="rId20"/>
                          <a:stretch>
                            <a:fillRect/>
                          </a:stretch>
                        </pic:blipFill>
                        <pic:spPr>
                          <a:xfrm>
                            <a:off x="0" y="0"/>
                            <a:ext cx="2286000" cy="1716540"/>
                          </a:xfrm>
                          <a:prstGeom prst="rect">
                            <a:avLst/>
                          </a:prstGeom>
                        </pic:spPr>
                      </pic:pic>
                    </a:graphicData>
                  </a:graphic>
                </wp:inline>
              </w:drawing>
            </w:r>
          </w:p>
        </w:tc>
      </w:tr>
      <w:tr w:rsidR="00CA4798" w14:paraId="11A77269" w14:textId="77777777" w:rsidTr="009C66CE">
        <w:trPr>
          <w:cantSplit/>
        </w:trPr>
        <w:tc>
          <w:tcPr>
            <w:tcW w:w="6115" w:type="dxa"/>
          </w:tcPr>
          <w:p w14:paraId="5E1849E6" w14:textId="170B9007" w:rsidR="003A52AA" w:rsidRPr="003A52AA" w:rsidRDefault="003A52AA" w:rsidP="003A52AA">
            <w:pPr>
              <w:pStyle w:val="TableParagraph"/>
              <w:rPr>
                <w:b/>
              </w:rPr>
            </w:pPr>
            <w:r w:rsidRPr="003A52AA">
              <w:rPr>
                <w:b/>
              </w:rPr>
              <w:t xml:space="preserve">Thank </w:t>
            </w:r>
            <w:r w:rsidR="00295F1A">
              <w:rPr>
                <w:b/>
              </w:rPr>
              <w:t>Y</w:t>
            </w:r>
            <w:r w:rsidRPr="003A52AA">
              <w:rPr>
                <w:b/>
              </w:rPr>
              <w:t xml:space="preserve">ou </w:t>
            </w:r>
          </w:p>
          <w:p w14:paraId="4DDB587D" w14:textId="5AF4F64F" w:rsidR="003A52AA" w:rsidRPr="000B7142" w:rsidRDefault="003A52AA" w:rsidP="003A52AA">
            <w:pPr>
              <w:pStyle w:val="TableParagraph"/>
            </w:pPr>
            <w:r w:rsidRPr="000B7142">
              <w:t>Thank you for your time today. Do you have any questions?</w:t>
            </w:r>
          </w:p>
          <w:p w14:paraId="3D16BDDD" w14:textId="23213710" w:rsidR="003A52AA" w:rsidRPr="00FB0E6E" w:rsidRDefault="003A52AA" w:rsidP="000B7142">
            <w:pPr>
              <w:pStyle w:val="TableParagraph"/>
              <w:rPr>
                <w:b/>
              </w:rPr>
            </w:pPr>
            <w:r w:rsidRPr="000B7142">
              <w:t>If you want to know more about the ISCR program, my contact information is listed on this slide.</w:t>
            </w:r>
          </w:p>
        </w:tc>
        <w:tc>
          <w:tcPr>
            <w:tcW w:w="4050" w:type="dxa"/>
          </w:tcPr>
          <w:p w14:paraId="0EC6B7AB" w14:textId="77777777" w:rsidR="003A52AA" w:rsidRPr="009C66CE" w:rsidRDefault="003A52AA" w:rsidP="00F14BBA">
            <w:pPr>
              <w:pStyle w:val="TableParagraph"/>
              <w:rPr>
                <w:b/>
                <w:bCs/>
              </w:rPr>
            </w:pPr>
            <w:r w:rsidRPr="009C66CE">
              <w:rPr>
                <w:b/>
                <w:bCs/>
              </w:rPr>
              <w:t>Slide 10</w:t>
            </w:r>
          </w:p>
          <w:p w14:paraId="2C7EA5B2" w14:textId="0430D707" w:rsidR="00CA4798" w:rsidRDefault="00CA4798" w:rsidP="009C66CE">
            <w:pPr>
              <w:pStyle w:val="TableParagraph"/>
              <w:spacing w:after="120" w:line="240" w:lineRule="auto"/>
            </w:pPr>
            <w:r>
              <w:rPr>
                <w:noProof/>
              </w:rPr>
              <w:drawing>
                <wp:inline distT="0" distB="0" distL="0" distR="0" wp14:anchorId="60B5D76C" wp14:editId="30F8CC51">
                  <wp:extent cx="2286000" cy="1715181"/>
                  <wp:effectExtent l="0" t="0" r="0" b="0"/>
                  <wp:docPr id="14" name="Picture 14"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10"/>
                          <pic:cNvPicPr/>
                        </pic:nvPicPr>
                        <pic:blipFill>
                          <a:blip r:embed="rId21"/>
                          <a:stretch>
                            <a:fillRect/>
                          </a:stretch>
                        </pic:blipFill>
                        <pic:spPr>
                          <a:xfrm>
                            <a:off x="0" y="0"/>
                            <a:ext cx="2286000" cy="1715181"/>
                          </a:xfrm>
                          <a:prstGeom prst="rect">
                            <a:avLst/>
                          </a:prstGeom>
                        </pic:spPr>
                      </pic:pic>
                    </a:graphicData>
                  </a:graphic>
                </wp:inline>
              </w:drawing>
            </w:r>
          </w:p>
        </w:tc>
      </w:tr>
    </w:tbl>
    <w:p w14:paraId="142017E7" w14:textId="1881912A" w:rsidR="001B1787" w:rsidRDefault="009C66CE" w:rsidP="009C66CE">
      <w:pPr>
        <w:pStyle w:val="Footer"/>
        <w:spacing w:before="3600" w:after="0" w:line="240" w:lineRule="auto"/>
        <w:jc w:val="right"/>
        <w:rPr>
          <w:sz w:val="22"/>
          <w:szCs w:val="22"/>
        </w:rPr>
      </w:pPr>
      <w:r>
        <w:rPr>
          <w:sz w:val="22"/>
          <w:szCs w:val="22"/>
        </w:rPr>
        <w:t>AHRQ Pub. No. 23-0052</w:t>
      </w:r>
    </w:p>
    <w:p w14:paraId="3DAAB03B" w14:textId="0687EA40" w:rsidR="009C66CE" w:rsidRPr="009C66CE" w:rsidRDefault="009C66CE" w:rsidP="009C66CE">
      <w:pPr>
        <w:pStyle w:val="Footer"/>
        <w:spacing w:after="0" w:line="240" w:lineRule="auto"/>
        <w:jc w:val="right"/>
        <w:rPr>
          <w:sz w:val="22"/>
          <w:szCs w:val="22"/>
        </w:rPr>
      </w:pPr>
      <w:r>
        <w:rPr>
          <w:sz w:val="22"/>
          <w:szCs w:val="22"/>
        </w:rPr>
        <w:t>June 2023</w:t>
      </w:r>
    </w:p>
    <w:sectPr w:rsidR="009C66CE" w:rsidRPr="009C66CE" w:rsidSect="00040D48">
      <w:footerReference w:type="even" r:id="rId22"/>
      <w:footerReference w:type="default" r:id="rId23"/>
      <w:headerReference w:type="first" r:id="rId24"/>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8E2B4" w14:textId="77777777" w:rsidR="008A0F11" w:rsidRDefault="008A0F11" w:rsidP="00CC236D">
      <w:r>
        <w:separator/>
      </w:r>
    </w:p>
  </w:endnote>
  <w:endnote w:type="continuationSeparator" w:id="0">
    <w:p w14:paraId="789E66F2" w14:textId="77777777" w:rsidR="008A0F11" w:rsidRDefault="008A0F11" w:rsidP="00CC236D">
      <w:r>
        <w:continuationSeparator/>
      </w:r>
    </w:p>
  </w:endnote>
  <w:endnote w:type="continuationNotice" w:id="1">
    <w:p w14:paraId="0873C069" w14:textId="77777777" w:rsidR="008A0F11" w:rsidRDefault="008A0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7899938"/>
      <w:docPartObj>
        <w:docPartGallery w:val="Page Numbers (Bottom of Page)"/>
        <w:docPartUnique/>
      </w:docPartObj>
    </w:sdtPr>
    <w:sdtEndPr>
      <w:rPr>
        <w:rStyle w:val="PageNumber"/>
      </w:rPr>
    </w:sdtEndPr>
    <w:sdtContent>
      <w:p w14:paraId="536F8B21" w14:textId="77777777" w:rsidR="003441F5" w:rsidRDefault="003441F5" w:rsidP="007220F9">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394461" w14:textId="77777777" w:rsidR="003441F5" w:rsidRDefault="003441F5" w:rsidP="003441F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3EBB" w14:textId="1B4CF118" w:rsidR="00CC236D" w:rsidRPr="000B7142" w:rsidRDefault="00AF3052" w:rsidP="003441F5">
    <w:pPr>
      <w:ind w:right="360"/>
      <w:rPr>
        <w:sz w:val="20"/>
        <w:szCs w:val="20"/>
      </w:rPr>
    </w:pPr>
    <w:r w:rsidRPr="000B7142">
      <w:rPr>
        <w:noProof/>
        <w:sz w:val="20"/>
        <w:szCs w:val="20"/>
      </w:rPr>
      <mc:AlternateContent>
        <mc:Choice Requires="wps">
          <w:drawing>
            <wp:anchor distT="0" distB="0" distL="114300" distR="114300" simplePos="0" relativeHeight="251658243" behindDoc="0" locked="0" layoutInCell="1" allowOverlap="1" wp14:anchorId="0EBD0F4E" wp14:editId="7257CA41">
              <wp:simplePos x="0" y="0"/>
              <wp:positionH relativeFrom="column">
                <wp:posOffset>4852358</wp:posOffset>
              </wp:positionH>
              <wp:positionV relativeFrom="page">
                <wp:posOffset>9627079</wp:posOffset>
              </wp:positionV>
              <wp:extent cx="1987491" cy="378856"/>
              <wp:effectExtent l="0" t="0" r="0" b="254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87491" cy="378856"/>
                      </a:xfrm>
                      <a:prstGeom prst="rect">
                        <a:avLst/>
                      </a:prstGeom>
                      <a:noFill/>
                      <a:ln w="6350">
                        <a:noFill/>
                      </a:ln>
                    </wps:spPr>
                    <wps:txbx>
                      <w:txbxContent>
                        <w:p w14:paraId="3DF0C238" w14:textId="77777777" w:rsidR="000B7142" w:rsidRDefault="000B7142" w:rsidP="000B7142">
                          <w:pPr>
                            <w:pStyle w:val="documentfootertitle"/>
                            <w:spacing w:after="0" w:line="240" w:lineRule="auto"/>
                            <w:rPr>
                              <w:sz w:val="20"/>
                              <w:szCs w:val="20"/>
                            </w:rPr>
                          </w:pPr>
                          <w:r>
                            <w:rPr>
                              <w:sz w:val="20"/>
                              <w:szCs w:val="20"/>
                            </w:rPr>
                            <w:t>Multimodal Analgesia Tips</w:t>
                          </w:r>
                        </w:p>
                        <w:p w14:paraId="5C3C7666" w14:textId="17C739DE" w:rsidR="007301F2" w:rsidRPr="000B7142" w:rsidRDefault="000B7142" w:rsidP="000B7142">
                          <w:pPr>
                            <w:pStyle w:val="documentfootertitle"/>
                            <w:spacing w:after="0" w:line="240" w:lineRule="auto"/>
                            <w:rPr>
                              <w:sz w:val="20"/>
                              <w:szCs w:val="20"/>
                            </w:rPr>
                          </w:pPr>
                          <w:r>
                            <w:rPr>
                              <w:sz w:val="20"/>
                              <w:szCs w:val="20"/>
                            </w:rPr>
                            <w:t>Facilitator Guide</w:t>
                          </w:r>
                          <w:r w:rsidR="00FC07D2" w:rsidRPr="000B7142">
                            <w:rPr>
                              <w:sz w:val="20"/>
                              <w:szCs w:val="20"/>
                            </w:rPr>
                            <w:t xml:space="preserve">  </w:t>
                          </w:r>
                          <w:r w:rsidR="00FC07D2" w:rsidRPr="000B7142">
                            <w:rPr>
                              <w:sz w:val="20"/>
                              <w:szCs w:val="20"/>
                            </w:rPr>
                            <w:fldChar w:fldCharType="begin"/>
                          </w:r>
                          <w:r w:rsidR="00FC07D2" w:rsidRPr="000B7142">
                            <w:rPr>
                              <w:sz w:val="20"/>
                              <w:szCs w:val="20"/>
                            </w:rPr>
                            <w:instrText xml:space="preserve"> PAGE   \* MERGEFORMAT </w:instrText>
                          </w:r>
                          <w:r w:rsidR="00FC07D2" w:rsidRPr="000B7142">
                            <w:rPr>
                              <w:sz w:val="20"/>
                              <w:szCs w:val="20"/>
                            </w:rPr>
                            <w:fldChar w:fldCharType="separate"/>
                          </w:r>
                          <w:r w:rsidR="00FC07D2" w:rsidRPr="000B7142">
                            <w:rPr>
                              <w:sz w:val="20"/>
                              <w:szCs w:val="20"/>
                            </w:rPr>
                            <w:t>1</w:t>
                          </w:r>
                          <w:r w:rsidR="00FC07D2" w:rsidRPr="000B7142">
                            <w:rPr>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D0F4E" id="_x0000_t202" coordsize="21600,21600" o:spt="202" path="m,l,21600r21600,l21600,xe">
              <v:stroke joinstyle="miter"/>
              <v:path gradientshapeok="t" o:connecttype="rect"/>
            </v:shapetype>
            <v:shape id="Text Box 5" o:spid="_x0000_s1028" type="#_x0000_t202" style="position:absolute;margin-left:382.1pt;margin-top:758.05pt;width:156.5pt;height:29.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" filled="f" stroked="f" strokeweight=".5pt">
              <v:textbox>
                <w:txbxContent>
                  <w:p w14:paraId="3DF0C238" w14:textId="77777777" w:rsidR="000B7142" w:rsidRDefault="000B7142" w:rsidP="000B7142">
                    <w:pPr>
                      <w:pStyle w:val="documentfootertitle"/>
                      <w:spacing w:after="0" w:line="240" w:lineRule="auto"/>
                      <w:rPr>
                        <w:sz w:val="20"/>
                        <w:szCs w:val="20"/>
                      </w:rPr>
                    </w:pPr>
                    <w:r>
                      <w:rPr>
                        <w:sz w:val="20"/>
                        <w:szCs w:val="20"/>
                      </w:rPr>
                      <w:t>Multimodal Analgesia Tips</w:t>
                    </w:r>
                  </w:p>
                  <w:p w14:paraId="5C3C7666" w14:textId="17C739DE" w:rsidR="007301F2" w:rsidRPr="000B7142" w:rsidRDefault="000B7142" w:rsidP="000B7142">
                    <w:pPr>
                      <w:pStyle w:val="documentfootertitle"/>
                      <w:spacing w:after="0" w:line="240" w:lineRule="auto"/>
                      <w:rPr>
                        <w:sz w:val="20"/>
                        <w:szCs w:val="20"/>
                      </w:rPr>
                    </w:pPr>
                    <w:r>
                      <w:rPr>
                        <w:sz w:val="20"/>
                        <w:szCs w:val="20"/>
                      </w:rPr>
                      <w:t>Facilitator Guide</w:t>
                    </w:r>
                    <w:r w:rsidR="00FC07D2" w:rsidRPr="000B7142">
                      <w:rPr>
                        <w:sz w:val="20"/>
                        <w:szCs w:val="20"/>
                      </w:rPr>
                      <w:t xml:space="preserve">  </w:t>
                    </w:r>
                    <w:r w:rsidR="00FC07D2" w:rsidRPr="000B7142">
                      <w:rPr>
                        <w:sz w:val="20"/>
                        <w:szCs w:val="20"/>
                      </w:rPr>
                      <w:fldChar w:fldCharType="begin"/>
                    </w:r>
                    <w:r w:rsidR="00FC07D2" w:rsidRPr="000B7142">
                      <w:rPr>
                        <w:sz w:val="20"/>
                        <w:szCs w:val="20"/>
                      </w:rPr>
                      <w:instrText xml:space="preserve"> PAGE   \* MERGEFORMAT </w:instrText>
                    </w:r>
                    <w:r w:rsidR="00FC07D2" w:rsidRPr="000B7142">
                      <w:rPr>
                        <w:sz w:val="20"/>
                        <w:szCs w:val="20"/>
                      </w:rPr>
                      <w:fldChar w:fldCharType="separate"/>
                    </w:r>
                    <w:r w:rsidR="00FC07D2" w:rsidRPr="000B7142">
                      <w:rPr>
                        <w:sz w:val="20"/>
                        <w:szCs w:val="20"/>
                      </w:rPr>
                      <w:t>1</w:t>
                    </w:r>
                    <w:r w:rsidR="00FC07D2" w:rsidRPr="000B7142">
                      <w:rPr>
                        <w:sz w:val="20"/>
                        <w:szCs w:val="20"/>
                      </w:rPr>
                      <w:fldChar w:fldCharType="end"/>
                    </w:r>
                  </w:p>
                </w:txbxContent>
              </v:textbox>
              <w10:wrap anchory="page"/>
            </v:shape>
          </w:pict>
        </mc:Fallback>
      </mc:AlternateContent>
    </w:r>
    <w:r w:rsidRPr="000B7142">
      <w:rPr>
        <w:noProof/>
        <w:sz w:val="20"/>
        <w:szCs w:val="20"/>
      </w:rPr>
      <w:drawing>
        <wp:anchor distT="0" distB="0" distL="114300" distR="114300" simplePos="0" relativeHeight="251658241" behindDoc="1" locked="0" layoutInCell="1" allowOverlap="1" wp14:anchorId="686BE4AC" wp14:editId="287E02E2">
          <wp:simplePos x="0" y="0"/>
          <wp:positionH relativeFrom="column">
            <wp:posOffset>4082415</wp:posOffset>
          </wp:positionH>
          <wp:positionV relativeFrom="page">
            <wp:posOffset>9296400</wp:posOffset>
          </wp:positionV>
          <wp:extent cx="2762250" cy="74295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0" cy="742950"/>
                  </a:xfrm>
                  <a:prstGeom prst="rect">
                    <a:avLst/>
                  </a:prstGeom>
                </pic:spPr>
              </pic:pic>
            </a:graphicData>
          </a:graphic>
          <wp14:sizeRelH relativeFrom="page">
            <wp14:pctWidth>0</wp14:pctWidth>
          </wp14:sizeRelH>
          <wp14:sizeRelV relativeFrom="page">
            <wp14:pctHeight>0</wp14:pctHeight>
          </wp14:sizeRelV>
        </wp:anchor>
      </w:drawing>
    </w:r>
    <w:r w:rsidRPr="000B7142">
      <w:rPr>
        <w:sz w:val="20"/>
        <w:szCs w:val="20"/>
      </w:rPr>
      <w:t>AHRQ Safety Program for Improving Surgical Care and Recovery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9E43C" w14:textId="77777777" w:rsidR="008A0F11" w:rsidRDefault="008A0F11" w:rsidP="00CC236D">
      <w:r>
        <w:separator/>
      </w:r>
    </w:p>
  </w:footnote>
  <w:footnote w:type="continuationSeparator" w:id="0">
    <w:p w14:paraId="740844FF" w14:textId="77777777" w:rsidR="008A0F11" w:rsidRDefault="008A0F11" w:rsidP="00CC236D">
      <w:r>
        <w:continuationSeparator/>
      </w:r>
    </w:p>
  </w:footnote>
  <w:footnote w:type="continuationNotice" w:id="1">
    <w:p w14:paraId="06E4B2C9" w14:textId="77777777" w:rsidR="008A0F11" w:rsidRDefault="008A0F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580C" w14:textId="7D3A7E74" w:rsidR="00CC236D" w:rsidRDefault="00622680" w:rsidP="00AF3052">
    <w:pPr>
      <w:tabs>
        <w:tab w:val="center" w:pos="4680"/>
      </w:tabs>
    </w:pPr>
    <w:r w:rsidRPr="00622680">
      <w:rPr>
        <w:noProof/>
      </w:rPr>
      <w:drawing>
        <wp:anchor distT="0" distB="0" distL="114300" distR="114300" simplePos="0" relativeHeight="251659267" behindDoc="1" locked="0" layoutInCell="1" allowOverlap="1" wp14:anchorId="78B10EDC" wp14:editId="3B93F493">
          <wp:simplePos x="0" y="0"/>
          <wp:positionH relativeFrom="page">
            <wp:align>left</wp:align>
          </wp:positionH>
          <wp:positionV relativeFrom="page">
            <wp:align>top</wp:align>
          </wp:positionV>
          <wp:extent cx="7772400" cy="10058400"/>
          <wp:effectExtent l="0" t="0" r="0" b="0"/>
          <wp:wrapNone/>
          <wp:docPr id="20" name="Picture 2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AF30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7891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2E8E7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2807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E03F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7AD9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36A4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6C91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2EEE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95EEB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661F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33D65"/>
    <w:multiLevelType w:val="hybridMultilevel"/>
    <w:tmpl w:val="C3FAF016"/>
    <w:lvl w:ilvl="0" w:tplc="2BB65C2E">
      <w:start w:val="1"/>
      <w:numFmt w:val="bullet"/>
      <w:pStyle w:val="Bullet1"/>
      <w:lvlText w:val=""/>
      <w:lvlJc w:val="left"/>
      <w:pPr>
        <w:ind w:left="720" w:hanging="360"/>
      </w:pPr>
      <w:rPr>
        <w:rFonts w:ascii="Symbol" w:hAnsi="Symbol" w:hint="default"/>
      </w:rPr>
    </w:lvl>
    <w:lvl w:ilvl="1" w:tplc="2FF66048">
      <w:start w:val="1"/>
      <w:numFmt w:val="bullet"/>
      <w:pStyle w:val="bullet2"/>
      <w:lvlText w:val="o"/>
      <w:lvlJc w:val="left"/>
      <w:pPr>
        <w:ind w:left="1440" w:hanging="360"/>
      </w:pPr>
      <w:rPr>
        <w:rFonts w:ascii="Courier New" w:hAnsi="Courier New" w:cs="Courier New" w:hint="default"/>
      </w:rPr>
    </w:lvl>
    <w:lvl w:ilvl="2" w:tplc="756E84C0">
      <w:start w:val="1"/>
      <w:numFmt w:val="bullet"/>
      <w:pStyle w:val="Bullet3"/>
      <w:lvlText w:val=""/>
      <w:lvlJc w:val="left"/>
      <w:pPr>
        <w:ind w:left="2160" w:hanging="360"/>
      </w:pPr>
      <w:rPr>
        <w:rFonts w:ascii="Wingdings" w:hAnsi="Wingdings" w:hint="default"/>
      </w:rPr>
    </w:lvl>
    <w:lvl w:ilvl="3" w:tplc="777C7586">
      <w:start w:val="1"/>
      <w:numFmt w:val="bullet"/>
      <w:pStyle w:val="Bullet4"/>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3026408">
    <w:abstractNumId w:val="10"/>
  </w:num>
  <w:num w:numId="2" w16cid:durableId="1993174348">
    <w:abstractNumId w:val="0"/>
  </w:num>
  <w:num w:numId="3" w16cid:durableId="1916279275">
    <w:abstractNumId w:val="1"/>
  </w:num>
  <w:num w:numId="4" w16cid:durableId="834535676">
    <w:abstractNumId w:val="2"/>
  </w:num>
  <w:num w:numId="5" w16cid:durableId="2143035077">
    <w:abstractNumId w:val="3"/>
  </w:num>
  <w:num w:numId="6" w16cid:durableId="1704357925">
    <w:abstractNumId w:val="8"/>
  </w:num>
  <w:num w:numId="7" w16cid:durableId="478159561">
    <w:abstractNumId w:val="4"/>
  </w:num>
  <w:num w:numId="8" w16cid:durableId="1651981898">
    <w:abstractNumId w:val="5"/>
  </w:num>
  <w:num w:numId="9" w16cid:durableId="309554341">
    <w:abstractNumId w:val="6"/>
  </w:num>
  <w:num w:numId="10" w16cid:durableId="1720741069">
    <w:abstractNumId w:val="7"/>
  </w:num>
  <w:num w:numId="11" w16cid:durableId="422187045">
    <w:abstractNumId w:val="9"/>
  </w:num>
  <w:num w:numId="12" w16cid:durableId="1638408944">
    <w:abstractNumId w:val="10"/>
  </w:num>
  <w:num w:numId="13" w16cid:durableId="872110073">
    <w:abstractNumId w:val="10"/>
  </w:num>
  <w:num w:numId="14" w16cid:durableId="355808721">
    <w:abstractNumId w:val="10"/>
  </w:num>
  <w:num w:numId="15" w16cid:durableId="319041096">
    <w:abstractNumId w:val="10"/>
  </w:num>
  <w:num w:numId="16" w16cid:durableId="1805073902">
    <w:abstractNumId w:val="10"/>
  </w:num>
  <w:num w:numId="17" w16cid:durableId="69893871">
    <w:abstractNumId w:val="10"/>
  </w:num>
  <w:num w:numId="18" w16cid:durableId="978460217">
    <w:abstractNumId w:val="10"/>
  </w:num>
  <w:num w:numId="19" w16cid:durableId="192227087">
    <w:abstractNumId w:val="10"/>
  </w:num>
  <w:num w:numId="20" w16cid:durableId="2038501690">
    <w:abstractNumId w:val="10"/>
  </w:num>
  <w:num w:numId="21" w16cid:durableId="839658948">
    <w:abstractNumId w:val="10"/>
  </w:num>
  <w:num w:numId="22" w16cid:durableId="787696759">
    <w:abstractNumId w:val="10"/>
  </w:num>
  <w:num w:numId="23" w16cid:durableId="896167640">
    <w:abstractNumId w:val="10"/>
  </w:num>
  <w:num w:numId="24" w16cid:durableId="1271936362">
    <w:abstractNumId w:val="10"/>
  </w:num>
  <w:num w:numId="25" w16cid:durableId="312567591">
    <w:abstractNumId w:val="10"/>
  </w:num>
  <w:num w:numId="26" w16cid:durableId="1601177454">
    <w:abstractNumId w:val="10"/>
  </w:num>
  <w:num w:numId="27" w16cid:durableId="10278777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FBD"/>
    <w:rsid w:val="0000511F"/>
    <w:rsid w:val="00005293"/>
    <w:rsid w:val="000141EC"/>
    <w:rsid w:val="00015BAC"/>
    <w:rsid w:val="00033728"/>
    <w:rsid w:val="00036913"/>
    <w:rsid w:val="00040D48"/>
    <w:rsid w:val="00047168"/>
    <w:rsid w:val="000518F4"/>
    <w:rsid w:val="0006351C"/>
    <w:rsid w:val="00076682"/>
    <w:rsid w:val="00092184"/>
    <w:rsid w:val="000A2040"/>
    <w:rsid w:val="000A7AB0"/>
    <w:rsid w:val="000B7142"/>
    <w:rsid w:val="000C7276"/>
    <w:rsid w:val="000F2EE4"/>
    <w:rsid w:val="000F4548"/>
    <w:rsid w:val="00103BAC"/>
    <w:rsid w:val="001131FC"/>
    <w:rsid w:val="001258E6"/>
    <w:rsid w:val="001449D9"/>
    <w:rsid w:val="00151EC7"/>
    <w:rsid w:val="00193CE2"/>
    <w:rsid w:val="001B07DD"/>
    <w:rsid w:val="001B1787"/>
    <w:rsid w:val="001C602B"/>
    <w:rsid w:val="001D1BAE"/>
    <w:rsid w:val="001E02A6"/>
    <w:rsid w:val="001E1010"/>
    <w:rsid w:val="001F2578"/>
    <w:rsid w:val="00206EA9"/>
    <w:rsid w:val="0021378B"/>
    <w:rsid w:val="002327C7"/>
    <w:rsid w:val="00251931"/>
    <w:rsid w:val="00257B52"/>
    <w:rsid w:val="002654D8"/>
    <w:rsid w:val="002672CD"/>
    <w:rsid w:val="002833BE"/>
    <w:rsid w:val="00286AAF"/>
    <w:rsid w:val="00295F1A"/>
    <w:rsid w:val="002A1A1D"/>
    <w:rsid w:val="002A1AAE"/>
    <w:rsid w:val="002C2776"/>
    <w:rsid w:val="002D70F5"/>
    <w:rsid w:val="002E6FBD"/>
    <w:rsid w:val="002F1711"/>
    <w:rsid w:val="002F1F91"/>
    <w:rsid w:val="002F3670"/>
    <w:rsid w:val="003158AB"/>
    <w:rsid w:val="00340F05"/>
    <w:rsid w:val="0034134C"/>
    <w:rsid w:val="00341AD2"/>
    <w:rsid w:val="003441F5"/>
    <w:rsid w:val="0037758E"/>
    <w:rsid w:val="00385201"/>
    <w:rsid w:val="003A52AA"/>
    <w:rsid w:val="003B18D5"/>
    <w:rsid w:val="003D3201"/>
    <w:rsid w:val="003E32D7"/>
    <w:rsid w:val="003E6C01"/>
    <w:rsid w:val="003F4BCB"/>
    <w:rsid w:val="0040039A"/>
    <w:rsid w:val="0041254B"/>
    <w:rsid w:val="00417D38"/>
    <w:rsid w:val="00422595"/>
    <w:rsid w:val="0043029A"/>
    <w:rsid w:val="00461B7F"/>
    <w:rsid w:val="00467C96"/>
    <w:rsid w:val="00470042"/>
    <w:rsid w:val="004702B6"/>
    <w:rsid w:val="0048466F"/>
    <w:rsid w:val="00491016"/>
    <w:rsid w:val="004A2DCF"/>
    <w:rsid w:val="004A36E1"/>
    <w:rsid w:val="004B6602"/>
    <w:rsid w:val="004D0EE1"/>
    <w:rsid w:val="004D2B7B"/>
    <w:rsid w:val="004D5C5D"/>
    <w:rsid w:val="004E2CBD"/>
    <w:rsid w:val="004F5E29"/>
    <w:rsid w:val="0050210A"/>
    <w:rsid w:val="00505C1E"/>
    <w:rsid w:val="00510609"/>
    <w:rsid w:val="00522111"/>
    <w:rsid w:val="005405E1"/>
    <w:rsid w:val="005469E8"/>
    <w:rsid w:val="00550E76"/>
    <w:rsid w:val="0055373C"/>
    <w:rsid w:val="0055659A"/>
    <w:rsid w:val="005661BD"/>
    <w:rsid w:val="00566DA3"/>
    <w:rsid w:val="00595250"/>
    <w:rsid w:val="0059599A"/>
    <w:rsid w:val="005D1E02"/>
    <w:rsid w:val="005D566A"/>
    <w:rsid w:val="0061663C"/>
    <w:rsid w:val="00622680"/>
    <w:rsid w:val="0062733C"/>
    <w:rsid w:val="006519D8"/>
    <w:rsid w:val="00660FC7"/>
    <w:rsid w:val="00662DEB"/>
    <w:rsid w:val="006669D7"/>
    <w:rsid w:val="0067587E"/>
    <w:rsid w:val="00675A32"/>
    <w:rsid w:val="0068281D"/>
    <w:rsid w:val="00685368"/>
    <w:rsid w:val="00694C92"/>
    <w:rsid w:val="006D0588"/>
    <w:rsid w:val="006D1F8A"/>
    <w:rsid w:val="006D4E40"/>
    <w:rsid w:val="006E5264"/>
    <w:rsid w:val="006F04C5"/>
    <w:rsid w:val="006F5AC8"/>
    <w:rsid w:val="006F76E1"/>
    <w:rsid w:val="00703AA7"/>
    <w:rsid w:val="00714E3F"/>
    <w:rsid w:val="007220F9"/>
    <w:rsid w:val="007301F2"/>
    <w:rsid w:val="0073166E"/>
    <w:rsid w:val="00746644"/>
    <w:rsid w:val="00754C87"/>
    <w:rsid w:val="00783D87"/>
    <w:rsid w:val="007928FF"/>
    <w:rsid w:val="007D27EA"/>
    <w:rsid w:val="007D5A86"/>
    <w:rsid w:val="0080743B"/>
    <w:rsid w:val="00840BDE"/>
    <w:rsid w:val="00844278"/>
    <w:rsid w:val="0084719C"/>
    <w:rsid w:val="00851F2D"/>
    <w:rsid w:val="0085433A"/>
    <w:rsid w:val="00872AF7"/>
    <w:rsid w:val="00874463"/>
    <w:rsid w:val="00876523"/>
    <w:rsid w:val="0089380B"/>
    <w:rsid w:val="008A0F11"/>
    <w:rsid w:val="008A279E"/>
    <w:rsid w:val="008C00B6"/>
    <w:rsid w:val="008C7CA8"/>
    <w:rsid w:val="008C7D87"/>
    <w:rsid w:val="008D325D"/>
    <w:rsid w:val="008D652C"/>
    <w:rsid w:val="008E5CAD"/>
    <w:rsid w:val="00902303"/>
    <w:rsid w:val="00910CF8"/>
    <w:rsid w:val="0093669F"/>
    <w:rsid w:val="00951FA0"/>
    <w:rsid w:val="009526F0"/>
    <w:rsid w:val="00976B21"/>
    <w:rsid w:val="009A50A3"/>
    <w:rsid w:val="009B5581"/>
    <w:rsid w:val="009C329B"/>
    <w:rsid w:val="009C66CE"/>
    <w:rsid w:val="009C68B4"/>
    <w:rsid w:val="009E0957"/>
    <w:rsid w:val="00A36F2A"/>
    <w:rsid w:val="00A42D8A"/>
    <w:rsid w:val="00A606EA"/>
    <w:rsid w:val="00A74DEB"/>
    <w:rsid w:val="00A9453B"/>
    <w:rsid w:val="00A9641C"/>
    <w:rsid w:val="00AA68BF"/>
    <w:rsid w:val="00AC2097"/>
    <w:rsid w:val="00AD5D42"/>
    <w:rsid w:val="00AD6565"/>
    <w:rsid w:val="00AF1F7E"/>
    <w:rsid w:val="00AF3052"/>
    <w:rsid w:val="00B026CE"/>
    <w:rsid w:val="00B1268A"/>
    <w:rsid w:val="00B2566C"/>
    <w:rsid w:val="00B43E03"/>
    <w:rsid w:val="00B52552"/>
    <w:rsid w:val="00B56B70"/>
    <w:rsid w:val="00B8336D"/>
    <w:rsid w:val="00B8374A"/>
    <w:rsid w:val="00B93488"/>
    <w:rsid w:val="00BA574E"/>
    <w:rsid w:val="00BA5C18"/>
    <w:rsid w:val="00BB11AB"/>
    <w:rsid w:val="00BB7B5E"/>
    <w:rsid w:val="00BC2661"/>
    <w:rsid w:val="00BC2DB9"/>
    <w:rsid w:val="00BC3D9B"/>
    <w:rsid w:val="00BE1428"/>
    <w:rsid w:val="00BE14E3"/>
    <w:rsid w:val="00BE1966"/>
    <w:rsid w:val="00BF0CF0"/>
    <w:rsid w:val="00C04996"/>
    <w:rsid w:val="00C16C20"/>
    <w:rsid w:val="00C22560"/>
    <w:rsid w:val="00C34C2E"/>
    <w:rsid w:val="00C41B8A"/>
    <w:rsid w:val="00C45A34"/>
    <w:rsid w:val="00C57E17"/>
    <w:rsid w:val="00C752F0"/>
    <w:rsid w:val="00C77A00"/>
    <w:rsid w:val="00C77CC0"/>
    <w:rsid w:val="00C83189"/>
    <w:rsid w:val="00C942A7"/>
    <w:rsid w:val="00CA08AF"/>
    <w:rsid w:val="00CA4798"/>
    <w:rsid w:val="00CC236D"/>
    <w:rsid w:val="00CD0129"/>
    <w:rsid w:val="00CD5DB4"/>
    <w:rsid w:val="00CE0C4E"/>
    <w:rsid w:val="00CF5758"/>
    <w:rsid w:val="00D0574D"/>
    <w:rsid w:val="00D71FBC"/>
    <w:rsid w:val="00D73C1B"/>
    <w:rsid w:val="00D81114"/>
    <w:rsid w:val="00D87F88"/>
    <w:rsid w:val="00DB286B"/>
    <w:rsid w:val="00DC0497"/>
    <w:rsid w:val="00DC13E4"/>
    <w:rsid w:val="00DC1BFA"/>
    <w:rsid w:val="00DC543A"/>
    <w:rsid w:val="00DD0E79"/>
    <w:rsid w:val="00DD2410"/>
    <w:rsid w:val="00DD4BBB"/>
    <w:rsid w:val="00DE0DFB"/>
    <w:rsid w:val="00DE369A"/>
    <w:rsid w:val="00DE5C0A"/>
    <w:rsid w:val="00DE5FD7"/>
    <w:rsid w:val="00DF5600"/>
    <w:rsid w:val="00E0132D"/>
    <w:rsid w:val="00E14EDB"/>
    <w:rsid w:val="00E517E1"/>
    <w:rsid w:val="00E75ECE"/>
    <w:rsid w:val="00E77A0A"/>
    <w:rsid w:val="00E873BD"/>
    <w:rsid w:val="00E91444"/>
    <w:rsid w:val="00E91E89"/>
    <w:rsid w:val="00E92E88"/>
    <w:rsid w:val="00EB6DE9"/>
    <w:rsid w:val="00EE3259"/>
    <w:rsid w:val="00EF3EC0"/>
    <w:rsid w:val="00F01F34"/>
    <w:rsid w:val="00F14BBA"/>
    <w:rsid w:val="00F45DF4"/>
    <w:rsid w:val="00F549EA"/>
    <w:rsid w:val="00F64AC8"/>
    <w:rsid w:val="00F6517B"/>
    <w:rsid w:val="00F773AB"/>
    <w:rsid w:val="00F92EE5"/>
    <w:rsid w:val="00F96634"/>
    <w:rsid w:val="00FA7307"/>
    <w:rsid w:val="00FB0E6E"/>
    <w:rsid w:val="00FB1019"/>
    <w:rsid w:val="00FC047B"/>
    <w:rsid w:val="00FC07D2"/>
    <w:rsid w:val="00FC6549"/>
    <w:rsid w:val="00FE2502"/>
    <w:rsid w:val="00FF69D7"/>
    <w:rsid w:val="0E8F331B"/>
    <w:rsid w:val="48ECC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93E756"/>
  <w14:defaultImageDpi w14:val="32767"/>
  <w15:chartTrackingRefBased/>
  <w15:docId w15:val="{9592B6A5-4BE6-48D4-AC92-3F0EDF1F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4702B6"/>
  </w:style>
  <w:style w:type="paragraph" w:styleId="Heading1">
    <w:name w:val="heading 1"/>
    <w:basedOn w:val="Normal"/>
    <w:next w:val="Normal"/>
    <w:link w:val="Heading1Char"/>
    <w:uiPriority w:val="9"/>
    <w:rsid w:val="002654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Section3Title"/>
    <w:link w:val="Heading2Char"/>
    <w:autoRedefine/>
    <w:qFormat/>
    <w:rsid w:val="008C00B6"/>
    <w:pPr>
      <w:spacing w:after="0" w:line="240" w:lineRule="auto"/>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footertitle">
    <w:name w:val="document footer title"/>
    <w:qFormat/>
    <w:rsid w:val="002F1711"/>
    <w:pPr>
      <w:jc w:val="right"/>
    </w:pPr>
    <w:rPr>
      <w:color w:val="000000" w:themeColor="text1"/>
      <w:sz w:val="18"/>
      <w:szCs w:val="18"/>
    </w:rPr>
  </w:style>
  <w:style w:type="table" w:styleId="TableGrid">
    <w:name w:val="Table Grid"/>
    <w:basedOn w:val="TableNormal"/>
    <w:uiPriority w:val="39"/>
    <w:rsid w:val="002F1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textcallout">
    <w:name w:val="Red text callout"/>
    <w:basedOn w:val="BodyText1"/>
    <w:qFormat/>
    <w:rsid w:val="002F1711"/>
    <w:rPr>
      <w:color w:val="C00000"/>
    </w:rPr>
  </w:style>
  <w:style w:type="paragraph" w:styleId="Header">
    <w:name w:val="header"/>
    <w:basedOn w:val="Normal"/>
    <w:link w:val="HeaderChar"/>
    <w:uiPriority w:val="99"/>
    <w:unhideWhenUsed/>
    <w:rsid w:val="002F1711"/>
    <w:pPr>
      <w:tabs>
        <w:tab w:val="center" w:pos="4680"/>
        <w:tab w:val="right" w:pos="9360"/>
      </w:tabs>
    </w:pPr>
  </w:style>
  <w:style w:type="character" w:styleId="PageNumber">
    <w:name w:val="page number"/>
    <w:basedOn w:val="DefaultParagraphFont"/>
    <w:uiPriority w:val="99"/>
    <w:semiHidden/>
    <w:unhideWhenUsed/>
    <w:rsid w:val="003441F5"/>
  </w:style>
  <w:style w:type="paragraph" w:customStyle="1" w:styleId="Headertitle">
    <w:name w:val="Header title"/>
    <w:autoRedefine/>
    <w:qFormat/>
    <w:rsid w:val="002E6FBD"/>
    <w:pPr>
      <w:spacing w:after="0" w:line="240" w:lineRule="auto"/>
      <w:contextualSpacing/>
      <w:jc w:val="center"/>
    </w:pPr>
    <w:rPr>
      <w:sz w:val="56"/>
      <w:szCs w:val="72"/>
    </w:rPr>
  </w:style>
  <w:style w:type="paragraph" w:customStyle="1" w:styleId="Section1title">
    <w:name w:val="Section 1 title"/>
    <w:basedOn w:val="Normal"/>
    <w:qFormat/>
    <w:rsid w:val="002F1711"/>
    <w:rPr>
      <w:b/>
      <w:bCs/>
      <w:sz w:val="32"/>
      <w:szCs w:val="32"/>
    </w:rPr>
  </w:style>
  <w:style w:type="paragraph" w:customStyle="1" w:styleId="bullet2">
    <w:name w:val="bullet 2"/>
    <w:basedOn w:val="Bullet1"/>
    <w:qFormat/>
    <w:rsid w:val="002F1711"/>
    <w:pPr>
      <w:numPr>
        <w:ilvl w:val="1"/>
      </w:numPr>
    </w:pPr>
  </w:style>
  <w:style w:type="character" w:customStyle="1" w:styleId="HeaderChar">
    <w:name w:val="Header Char"/>
    <w:basedOn w:val="DefaultParagraphFont"/>
    <w:link w:val="Header"/>
    <w:uiPriority w:val="99"/>
    <w:rsid w:val="002F1711"/>
  </w:style>
  <w:style w:type="paragraph" w:customStyle="1" w:styleId="Bullet1">
    <w:name w:val="Bullet 1"/>
    <w:basedOn w:val="BodyText"/>
    <w:qFormat/>
    <w:rsid w:val="002F1711"/>
    <w:pPr>
      <w:numPr>
        <w:numId w:val="27"/>
      </w:numPr>
    </w:pPr>
  </w:style>
  <w:style w:type="paragraph" w:customStyle="1" w:styleId="BodyText1">
    <w:name w:val="Body Text1"/>
    <w:qFormat/>
    <w:rsid w:val="002F1711"/>
  </w:style>
  <w:style w:type="paragraph" w:styleId="BodyText">
    <w:name w:val="Body Text"/>
    <w:basedOn w:val="Normal"/>
    <w:link w:val="BodyTextChar"/>
    <w:uiPriority w:val="99"/>
    <w:unhideWhenUsed/>
    <w:rsid w:val="002F1711"/>
    <w:pPr>
      <w:spacing w:after="120"/>
    </w:pPr>
  </w:style>
  <w:style w:type="character" w:customStyle="1" w:styleId="BodyTextChar">
    <w:name w:val="Body Text Char"/>
    <w:basedOn w:val="DefaultParagraphFont"/>
    <w:link w:val="BodyText"/>
    <w:uiPriority w:val="99"/>
    <w:rsid w:val="002F1711"/>
  </w:style>
  <w:style w:type="paragraph" w:customStyle="1" w:styleId="Bullet3">
    <w:name w:val="Bullet 3"/>
    <w:basedOn w:val="Bullet1"/>
    <w:qFormat/>
    <w:rsid w:val="002F1711"/>
    <w:pPr>
      <w:numPr>
        <w:ilvl w:val="2"/>
      </w:numPr>
    </w:pPr>
  </w:style>
  <w:style w:type="paragraph" w:customStyle="1" w:styleId="Bullet4">
    <w:name w:val="Bullet 4"/>
    <w:basedOn w:val="Bullet1"/>
    <w:qFormat/>
    <w:rsid w:val="002F1711"/>
    <w:pPr>
      <w:numPr>
        <w:ilvl w:val="3"/>
      </w:numPr>
    </w:pPr>
  </w:style>
  <w:style w:type="paragraph" w:customStyle="1" w:styleId="Reference">
    <w:name w:val="Reference"/>
    <w:qFormat/>
    <w:rsid w:val="002F1711"/>
    <w:rPr>
      <w:i/>
      <w:iCs/>
      <w:sz w:val="20"/>
      <w:szCs w:val="20"/>
    </w:rPr>
  </w:style>
  <w:style w:type="paragraph" w:customStyle="1" w:styleId="Section2Title">
    <w:name w:val="Section 2 Title"/>
    <w:qFormat/>
    <w:rsid w:val="002F1711"/>
    <w:rPr>
      <w:b/>
      <w:bCs/>
      <w:sz w:val="28"/>
      <w:szCs w:val="28"/>
    </w:rPr>
  </w:style>
  <w:style w:type="paragraph" w:customStyle="1" w:styleId="Section3Title">
    <w:name w:val="Section 3 Title"/>
    <w:qFormat/>
    <w:rsid w:val="002F1711"/>
    <w:rPr>
      <w:i/>
      <w:iCs/>
    </w:rPr>
  </w:style>
  <w:style w:type="character" w:customStyle="1" w:styleId="Heading1Char">
    <w:name w:val="Heading 1 Char"/>
    <w:basedOn w:val="DefaultParagraphFont"/>
    <w:link w:val="Heading1"/>
    <w:uiPriority w:val="9"/>
    <w:rsid w:val="002654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8C00B6"/>
    <w:rPr>
      <w:b/>
      <w:bCs/>
      <w:sz w:val="28"/>
      <w:szCs w:val="28"/>
    </w:rPr>
  </w:style>
  <w:style w:type="paragraph" w:styleId="Footer">
    <w:name w:val="footer"/>
    <w:basedOn w:val="Normal"/>
    <w:link w:val="FooterChar"/>
    <w:uiPriority w:val="99"/>
    <w:unhideWhenUsed/>
    <w:rsid w:val="002F1711"/>
    <w:pPr>
      <w:tabs>
        <w:tab w:val="center" w:pos="4680"/>
        <w:tab w:val="right" w:pos="9360"/>
      </w:tabs>
    </w:pPr>
    <w:rPr>
      <w:sz w:val="18"/>
      <w:szCs w:val="18"/>
    </w:rPr>
  </w:style>
  <w:style w:type="character" w:customStyle="1" w:styleId="FooterChar">
    <w:name w:val="Footer Char"/>
    <w:basedOn w:val="DefaultParagraphFont"/>
    <w:link w:val="Footer"/>
    <w:uiPriority w:val="99"/>
    <w:rsid w:val="002F1711"/>
    <w:rPr>
      <w:sz w:val="18"/>
      <w:szCs w:val="18"/>
    </w:rPr>
  </w:style>
  <w:style w:type="paragraph" w:styleId="Title">
    <w:name w:val="Title"/>
    <w:aliases w:val="Toolkit Title"/>
    <w:basedOn w:val="Normal"/>
    <w:link w:val="TitleChar"/>
    <w:autoRedefine/>
    <w:qFormat/>
    <w:rsid w:val="00E91444"/>
    <w:pPr>
      <w:keepNext/>
      <w:keepLines/>
      <w:pBdr>
        <w:bottom w:val="single" w:sz="4" w:space="1" w:color="5B9BD5"/>
      </w:pBdr>
      <w:spacing w:before="240" w:after="240"/>
      <w:contextualSpacing/>
      <w:outlineLvl w:val="0"/>
    </w:pPr>
    <w:rPr>
      <w:rFonts w:ascii="Calibri" w:eastAsia="MS Gothic" w:hAnsi="Calibri" w:cstheme="majorBidi"/>
      <w:bCs/>
      <w:kern w:val="28"/>
      <w:sz w:val="40"/>
      <w:szCs w:val="32"/>
    </w:rPr>
  </w:style>
  <w:style w:type="character" w:customStyle="1" w:styleId="TitleChar">
    <w:name w:val="Title Char"/>
    <w:aliases w:val="Toolkit Title Char"/>
    <w:basedOn w:val="DefaultParagraphFont"/>
    <w:link w:val="Title"/>
    <w:rsid w:val="00E91444"/>
    <w:rPr>
      <w:rFonts w:ascii="Calibri" w:eastAsia="MS Gothic" w:hAnsi="Calibri" w:cstheme="majorBidi"/>
      <w:bCs/>
      <w:kern w:val="28"/>
      <w:sz w:val="40"/>
      <w:szCs w:val="32"/>
    </w:rPr>
  </w:style>
  <w:style w:type="paragraph" w:styleId="Subtitle">
    <w:name w:val="Subtitle"/>
    <w:basedOn w:val="Normal"/>
    <w:next w:val="Normal"/>
    <w:link w:val="SubtitleChar"/>
    <w:uiPriority w:val="11"/>
    <w:rsid w:val="002F171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F1711"/>
    <w:rPr>
      <w:rFonts w:eastAsiaTheme="minorEastAsia"/>
      <w:color w:val="5A5A5A" w:themeColor="text1" w:themeTint="A5"/>
      <w:spacing w:val="15"/>
      <w:sz w:val="22"/>
      <w:szCs w:val="22"/>
    </w:rPr>
  </w:style>
  <w:style w:type="paragraph" w:customStyle="1" w:styleId="TableParagraph">
    <w:name w:val="Table Paragraph"/>
    <w:basedOn w:val="Normal"/>
    <w:uiPriority w:val="1"/>
    <w:qFormat/>
    <w:rsid w:val="002F1711"/>
    <w:pPr>
      <w:widowControl w:val="0"/>
      <w:autoSpaceDE w:val="0"/>
      <w:autoSpaceDN w:val="0"/>
    </w:pPr>
    <w:rPr>
      <w:rFonts w:ascii="Calibri" w:eastAsia="Calibri" w:hAnsi="Calibri" w:cs="Calibri"/>
      <w:lang w:bidi="en-US"/>
    </w:rPr>
  </w:style>
  <w:style w:type="character" w:styleId="Hyperlink">
    <w:name w:val="Hyperlink"/>
    <w:basedOn w:val="DefaultParagraphFont"/>
    <w:uiPriority w:val="99"/>
    <w:unhideWhenUsed/>
    <w:rsid w:val="002F1711"/>
    <w:rPr>
      <w:color w:val="0563C1" w:themeColor="hyperlink"/>
      <w:u w:val="single"/>
    </w:rPr>
  </w:style>
  <w:style w:type="paragraph" w:styleId="ListParagraph">
    <w:name w:val="List Paragraph"/>
    <w:basedOn w:val="Normal"/>
    <w:uiPriority w:val="34"/>
    <w:rsid w:val="002F1711"/>
    <w:pPr>
      <w:ind w:left="720"/>
      <w:contextualSpacing/>
    </w:pPr>
  </w:style>
  <w:style w:type="character" w:styleId="Emphasis">
    <w:name w:val="Emphasis"/>
    <w:basedOn w:val="DefaultParagraphFont"/>
    <w:uiPriority w:val="20"/>
    <w:rsid w:val="002F1711"/>
    <w:rPr>
      <w:i/>
      <w:iCs/>
    </w:rPr>
  </w:style>
  <w:style w:type="character" w:styleId="CommentReference">
    <w:name w:val="annotation reference"/>
    <w:basedOn w:val="DefaultParagraphFont"/>
    <w:uiPriority w:val="99"/>
    <w:semiHidden/>
    <w:unhideWhenUsed/>
    <w:rsid w:val="00F6517B"/>
    <w:rPr>
      <w:sz w:val="16"/>
      <w:szCs w:val="16"/>
    </w:rPr>
  </w:style>
  <w:style w:type="paragraph" w:styleId="CommentText">
    <w:name w:val="annotation text"/>
    <w:basedOn w:val="Normal"/>
    <w:link w:val="CommentTextChar"/>
    <w:uiPriority w:val="99"/>
    <w:semiHidden/>
    <w:unhideWhenUsed/>
    <w:rsid w:val="00F6517B"/>
    <w:pPr>
      <w:spacing w:line="240" w:lineRule="auto"/>
    </w:pPr>
    <w:rPr>
      <w:sz w:val="20"/>
      <w:szCs w:val="20"/>
    </w:rPr>
  </w:style>
  <w:style w:type="character" w:customStyle="1" w:styleId="CommentTextChar">
    <w:name w:val="Comment Text Char"/>
    <w:basedOn w:val="DefaultParagraphFont"/>
    <w:link w:val="CommentText"/>
    <w:uiPriority w:val="99"/>
    <w:semiHidden/>
    <w:rsid w:val="00F6517B"/>
    <w:rPr>
      <w:sz w:val="20"/>
      <w:szCs w:val="20"/>
    </w:rPr>
  </w:style>
  <w:style w:type="paragraph" w:styleId="CommentSubject">
    <w:name w:val="annotation subject"/>
    <w:basedOn w:val="CommentText"/>
    <w:next w:val="CommentText"/>
    <w:link w:val="CommentSubjectChar"/>
    <w:uiPriority w:val="99"/>
    <w:semiHidden/>
    <w:unhideWhenUsed/>
    <w:rsid w:val="00F6517B"/>
    <w:rPr>
      <w:b/>
      <w:bCs/>
    </w:rPr>
  </w:style>
  <w:style w:type="character" w:customStyle="1" w:styleId="CommentSubjectChar">
    <w:name w:val="Comment Subject Char"/>
    <w:basedOn w:val="CommentTextChar"/>
    <w:link w:val="CommentSubject"/>
    <w:uiPriority w:val="99"/>
    <w:semiHidden/>
    <w:rsid w:val="00F6517B"/>
    <w:rPr>
      <w:b/>
      <w:bCs/>
      <w:sz w:val="20"/>
      <w:szCs w:val="20"/>
    </w:rPr>
  </w:style>
  <w:style w:type="paragraph" w:styleId="BalloonText">
    <w:name w:val="Balloon Text"/>
    <w:basedOn w:val="Normal"/>
    <w:link w:val="BalloonTextChar"/>
    <w:uiPriority w:val="99"/>
    <w:semiHidden/>
    <w:unhideWhenUsed/>
    <w:rsid w:val="000141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1EC"/>
    <w:rPr>
      <w:rFonts w:ascii="Segoe UI" w:hAnsi="Segoe UI" w:cs="Segoe UI"/>
      <w:sz w:val="18"/>
      <w:szCs w:val="18"/>
    </w:rPr>
  </w:style>
  <w:style w:type="paragraph" w:styleId="Revision">
    <w:name w:val="Revision"/>
    <w:hidden/>
    <w:uiPriority w:val="99"/>
    <w:semiHidden/>
    <w:rsid w:val="00DC0497"/>
    <w:pPr>
      <w:spacing w:after="0" w:line="240" w:lineRule="auto"/>
    </w:pPr>
  </w:style>
  <w:style w:type="paragraph" w:styleId="NormalWeb">
    <w:name w:val="Normal (Web)"/>
    <w:basedOn w:val="Normal"/>
    <w:uiPriority w:val="99"/>
    <w:semiHidden/>
    <w:unhideWhenUsed/>
    <w:rsid w:val="00E013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E0132D"/>
    <w:rPr>
      <w:rFonts w:ascii="Segoe UI" w:hAnsi="Segoe UI" w:cs="Segoe UI" w:hint="default"/>
      <w:sz w:val="18"/>
      <w:szCs w:val="18"/>
    </w:rPr>
  </w:style>
  <w:style w:type="character" w:styleId="UnresolvedMention">
    <w:name w:val="Unresolved Mention"/>
    <w:basedOn w:val="DefaultParagraphFont"/>
    <w:uiPriority w:val="99"/>
    <w:semiHidden/>
    <w:unhideWhenUsed/>
    <w:rsid w:val="00AD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1884">
      <w:bodyDiv w:val="1"/>
      <w:marLeft w:val="0"/>
      <w:marRight w:val="0"/>
      <w:marTop w:val="0"/>
      <w:marBottom w:val="0"/>
      <w:divBdr>
        <w:top w:val="none" w:sz="0" w:space="0" w:color="auto"/>
        <w:left w:val="none" w:sz="0" w:space="0" w:color="auto"/>
        <w:bottom w:val="none" w:sz="0" w:space="0" w:color="auto"/>
        <w:right w:val="none" w:sz="0" w:space="0" w:color="auto"/>
      </w:divBdr>
    </w:div>
    <w:div w:id="207381404">
      <w:bodyDiv w:val="1"/>
      <w:marLeft w:val="0"/>
      <w:marRight w:val="0"/>
      <w:marTop w:val="0"/>
      <w:marBottom w:val="0"/>
      <w:divBdr>
        <w:top w:val="none" w:sz="0" w:space="0" w:color="auto"/>
        <w:left w:val="none" w:sz="0" w:space="0" w:color="auto"/>
        <w:bottom w:val="none" w:sz="0" w:space="0" w:color="auto"/>
        <w:right w:val="none" w:sz="0" w:space="0" w:color="auto"/>
      </w:divBdr>
    </w:div>
    <w:div w:id="257446558">
      <w:bodyDiv w:val="1"/>
      <w:marLeft w:val="0"/>
      <w:marRight w:val="0"/>
      <w:marTop w:val="0"/>
      <w:marBottom w:val="0"/>
      <w:divBdr>
        <w:top w:val="none" w:sz="0" w:space="0" w:color="auto"/>
        <w:left w:val="none" w:sz="0" w:space="0" w:color="auto"/>
        <w:bottom w:val="none" w:sz="0" w:space="0" w:color="auto"/>
        <w:right w:val="none" w:sz="0" w:space="0" w:color="auto"/>
      </w:divBdr>
    </w:div>
    <w:div w:id="439492970">
      <w:bodyDiv w:val="1"/>
      <w:marLeft w:val="0"/>
      <w:marRight w:val="0"/>
      <w:marTop w:val="0"/>
      <w:marBottom w:val="0"/>
      <w:divBdr>
        <w:top w:val="none" w:sz="0" w:space="0" w:color="auto"/>
        <w:left w:val="none" w:sz="0" w:space="0" w:color="auto"/>
        <w:bottom w:val="none" w:sz="0" w:space="0" w:color="auto"/>
        <w:right w:val="none" w:sz="0" w:space="0" w:color="auto"/>
      </w:divBdr>
    </w:div>
    <w:div w:id="1245919961">
      <w:bodyDiv w:val="1"/>
      <w:marLeft w:val="0"/>
      <w:marRight w:val="0"/>
      <w:marTop w:val="0"/>
      <w:marBottom w:val="0"/>
      <w:divBdr>
        <w:top w:val="none" w:sz="0" w:space="0" w:color="auto"/>
        <w:left w:val="none" w:sz="0" w:space="0" w:color="auto"/>
        <w:bottom w:val="none" w:sz="0" w:space="0" w:color="auto"/>
        <w:right w:val="none" w:sz="0" w:space="0" w:color="auto"/>
      </w:divBdr>
    </w:div>
    <w:div w:id="1260985498">
      <w:bodyDiv w:val="1"/>
      <w:marLeft w:val="0"/>
      <w:marRight w:val="0"/>
      <w:marTop w:val="0"/>
      <w:marBottom w:val="0"/>
      <w:divBdr>
        <w:top w:val="none" w:sz="0" w:space="0" w:color="auto"/>
        <w:left w:val="none" w:sz="0" w:space="0" w:color="auto"/>
        <w:bottom w:val="none" w:sz="0" w:space="0" w:color="auto"/>
        <w:right w:val="none" w:sz="0" w:space="0" w:color="auto"/>
      </w:divBdr>
    </w:div>
    <w:div w:id="1289125796">
      <w:bodyDiv w:val="1"/>
      <w:marLeft w:val="0"/>
      <w:marRight w:val="0"/>
      <w:marTop w:val="0"/>
      <w:marBottom w:val="0"/>
      <w:divBdr>
        <w:top w:val="none" w:sz="0" w:space="0" w:color="auto"/>
        <w:left w:val="none" w:sz="0" w:space="0" w:color="auto"/>
        <w:bottom w:val="none" w:sz="0" w:space="0" w:color="auto"/>
        <w:right w:val="none" w:sz="0" w:space="0" w:color="auto"/>
      </w:divBdr>
    </w:div>
    <w:div w:id="1601260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ahrq.gov/hai/tools/enhanced-recovery/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irley1\Johns%20Hopkins\Michael%20Rosen%20-%20AHRQ%20ISCR%20Program\AHRQ%20ISCR%20Toolkit\ISC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6CC0FC43363F4486EF125B20F142DD" ma:contentTypeVersion="13" ma:contentTypeDescription="Create a new document." ma:contentTypeScope="" ma:versionID="76376da4425270c5e8de56d6a1491260">
  <xsd:schema xmlns:xsd="http://www.w3.org/2001/XMLSchema" xmlns:xs="http://www.w3.org/2001/XMLSchema" xmlns:p="http://schemas.microsoft.com/office/2006/metadata/properties" xmlns:ns3="049c2de0-4c44-4bec-aa11-008a15ef5db0" xmlns:ns4="0ca66267-29c9-4f79-ad07-5fdfcb821135" targetNamespace="http://schemas.microsoft.com/office/2006/metadata/properties" ma:root="true" ma:fieldsID="e57926fedf8de957e34099befb03a631" ns3:_="" ns4:_="">
    <xsd:import namespace="049c2de0-4c44-4bec-aa11-008a15ef5db0"/>
    <xsd:import namespace="0ca66267-29c9-4f79-ad07-5fdfcb8211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2de0-4c44-4bec-aa11-008a15ef5d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66267-29c9-4f79-ad07-5fdfcb82113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3D7C502-6ABA-4643-93DD-C78E783159B1}">
  <ds:schemaRefs>
    <ds:schemaRef ds:uri="http://schemas.microsoft.com/sharepoint/v3/contenttype/forms"/>
  </ds:schemaRefs>
</ds:datastoreItem>
</file>

<file path=customXml/itemProps2.xml><?xml version="1.0" encoding="utf-8"?>
<ds:datastoreItem xmlns:ds="http://schemas.openxmlformats.org/officeDocument/2006/customXml" ds:itemID="{612A3120-E172-44B5-9BF6-15F636D3E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2de0-4c44-4bec-aa11-008a15ef5db0"/>
    <ds:schemaRef ds:uri="0ca66267-29c9-4f79-ad07-5fdfcb821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400D9-090B-46C0-BAC0-A77685C9CD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E239F0-3F10-45A9-92AD-280CCA8CA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ISCR Template</Template>
  <TotalTime>12</TotalTime>
  <Pages>5</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Kirley</dc:creator>
  <cp:keywords/>
  <dc:description/>
  <cp:lastModifiedBy>Heidenrich, Christine (AHRQ/OC) (CTR)</cp:lastModifiedBy>
  <cp:revision>5</cp:revision>
  <dcterms:created xsi:type="dcterms:W3CDTF">2022-11-04T16:20:00Z</dcterms:created>
  <dcterms:modified xsi:type="dcterms:W3CDTF">2023-06-02T17:54:00Z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0x010100D96CC0FC43363F4486EF125B20F142DD</vt:lpwstr>
  </property>
</Properties>
</file>