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5D12" w14:textId="6C0F1308" w:rsidR="002833BE" w:rsidRDefault="005329BA" w:rsidP="00AF3052">
      <w:pPr>
        <w:pStyle w:val="Title"/>
      </w:pPr>
      <w:r w:rsidRPr="00491016">
        <w:rPr>
          <w:noProof/>
        </w:rPr>
        <mc:AlternateContent>
          <mc:Choice Requires="wps">
            <w:drawing>
              <wp:anchor distT="0" distB="0" distL="114300" distR="114300" simplePos="0" relativeHeight="251662336" behindDoc="0" locked="0" layoutInCell="1" allowOverlap="1" wp14:anchorId="2E41A760" wp14:editId="195A01FC">
                <wp:simplePos x="0" y="0"/>
                <wp:positionH relativeFrom="column">
                  <wp:posOffset>-685800</wp:posOffset>
                </wp:positionH>
                <wp:positionV relativeFrom="paragraph">
                  <wp:posOffset>-914232</wp:posOffset>
                </wp:positionV>
                <wp:extent cx="7772400" cy="982478"/>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982478"/>
                        </a:xfrm>
                        <a:prstGeom prst="rect">
                          <a:avLst/>
                        </a:prstGeom>
                        <a:noFill/>
                        <a:ln w="6350">
                          <a:noFill/>
                        </a:ln>
                      </wps:spPr>
                      <wps:txbx>
                        <w:txbxContent>
                          <w:p w14:paraId="2A40049E" w14:textId="77777777" w:rsidR="005329BA" w:rsidRDefault="00AF3052" w:rsidP="00AF3052">
                            <w:pPr>
                              <w:pStyle w:val="Headertitle"/>
                            </w:pPr>
                            <w:r w:rsidRPr="00AF3052">
                              <w:t xml:space="preserve">AHRQ Safety Program for Improving </w:t>
                            </w:r>
                          </w:p>
                          <w:p w14:paraId="361A7F8C" w14:textId="35B635F0" w:rsidR="0068281D" w:rsidRPr="00AF3052" w:rsidRDefault="00AF3052" w:rsidP="00AF3052">
                            <w:pPr>
                              <w:pStyle w:val="Headertitle"/>
                            </w:pPr>
                            <w:r w:rsidRPr="00AF3052">
                              <w:t>Surgical Care and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1A760" id="_x0000_t202" coordsize="21600,21600" o:spt="202" path="m,l,21600r21600,l21600,xe">
                <v:stroke joinstyle="miter"/>
                <v:path gradientshapeok="t" o:connecttype="rect"/>
              </v:shapetype>
              <v:shape id="Text Box 3" o:spid="_x0000_s1026" type="#_x0000_t202" style="position:absolute;margin-left:-54pt;margin-top:-1in;width:612pt;height: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" filled="f" stroked="f" strokeweight=".5pt">
                <v:textbox>
                  <w:txbxContent>
                    <w:p w14:paraId="2A40049E" w14:textId="77777777" w:rsidR="005329BA" w:rsidRDefault="00AF3052" w:rsidP="00AF3052">
                      <w:pPr>
                        <w:pStyle w:val="Headertitle"/>
                      </w:pPr>
                      <w:r w:rsidRPr="00AF3052">
                        <w:t xml:space="preserve">AHRQ Safety Program for Improving </w:t>
                      </w:r>
                    </w:p>
                    <w:p w14:paraId="361A7F8C" w14:textId="35B635F0" w:rsidR="0068281D" w:rsidRPr="00AF3052" w:rsidRDefault="00AF3052" w:rsidP="00AF3052">
                      <w:pPr>
                        <w:pStyle w:val="Headertitle"/>
                      </w:pPr>
                      <w:r w:rsidRPr="00AF3052">
                        <w:t>Surgical Care and Recovery</w:t>
                      </w:r>
                    </w:p>
                  </w:txbxContent>
                </v:textbox>
              </v:shape>
            </w:pict>
          </mc:Fallback>
        </mc:AlternateContent>
      </w:r>
      <w:r w:rsidR="00AF3052">
        <w:t xml:space="preserve">Regional Analgesia for </w:t>
      </w:r>
      <w:r w:rsidR="00C1079B">
        <w:t>Total Hip Arthroplasty and Total Knee Arthroplasty</w:t>
      </w:r>
      <w:r w:rsidR="00AF3052">
        <w:t>: Facilitator Guide</w:t>
      </w:r>
      <w:r w:rsidR="00840BDE">
        <w:tab/>
      </w:r>
    </w:p>
    <w:tbl>
      <w:tblPr>
        <w:tblStyle w:val="TableGrid"/>
        <w:tblW w:w="10165" w:type="dxa"/>
        <w:tblLook w:val="04A0" w:firstRow="1" w:lastRow="0" w:firstColumn="1" w:lastColumn="0" w:noHBand="0" w:noVBand="1"/>
      </w:tblPr>
      <w:tblGrid>
        <w:gridCol w:w="5479"/>
        <w:gridCol w:w="4686"/>
      </w:tblGrid>
      <w:tr w:rsidR="00106792" w14:paraId="1E0F38B0" w14:textId="77777777" w:rsidTr="00C31D41">
        <w:trPr>
          <w:cantSplit/>
          <w:tblHeader/>
        </w:trPr>
        <w:tc>
          <w:tcPr>
            <w:tcW w:w="5575" w:type="dxa"/>
            <w:shd w:val="clear" w:color="auto" w:fill="auto"/>
            <w:vAlign w:val="center"/>
          </w:tcPr>
          <w:p w14:paraId="6EE9DB49" w14:textId="6A046F73" w:rsidR="00F14BBA" w:rsidRDefault="00F14BBA" w:rsidP="00F14BBA">
            <w:pPr>
              <w:pStyle w:val="TableParagraph"/>
            </w:pPr>
            <w:r w:rsidRPr="00BF331D">
              <w:rPr>
                <w:b/>
                <w:bCs/>
                <w:sz w:val="24"/>
                <w:szCs w:val="24"/>
              </w:rPr>
              <w:t>Slide Title and Commentary</w:t>
            </w:r>
          </w:p>
        </w:tc>
        <w:tc>
          <w:tcPr>
            <w:tcW w:w="4590" w:type="dxa"/>
            <w:shd w:val="clear" w:color="auto" w:fill="auto"/>
            <w:vAlign w:val="center"/>
          </w:tcPr>
          <w:p w14:paraId="1C8E66EC" w14:textId="4734828B" w:rsidR="00F14BBA" w:rsidRDefault="00F14BBA" w:rsidP="00F14BBA">
            <w:pPr>
              <w:pStyle w:val="TableParagraph"/>
            </w:pPr>
            <w:r w:rsidRPr="00BF331D">
              <w:rPr>
                <w:b/>
                <w:bCs/>
                <w:sz w:val="24"/>
                <w:szCs w:val="24"/>
              </w:rPr>
              <w:t>Slide Number and Slide</w:t>
            </w:r>
          </w:p>
        </w:tc>
      </w:tr>
      <w:tr w:rsidR="00106792" w14:paraId="5FB78C98" w14:textId="77777777" w:rsidTr="00C31D41">
        <w:trPr>
          <w:cantSplit/>
        </w:trPr>
        <w:tc>
          <w:tcPr>
            <w:tcW w:w="5575" w:type="dxa"/>
          </w:tcPr>
          <w:p w14:paraId="6B15734F" w14:textId="29ACD671" w:rsidR="00F14BBA" w:rsidRPr="00550E76" w:rsidRDefault="00F14BBA" w:rsidP="00F14BBA">
            <w:pPr>
              <w:pStyle w:val="TableParagraph"/>
              <w:rPr>
                <w:b/>
              </w:rPr>
            </w:pPr>
            <w:r w:rsidRPr="00550E76">
              <w:rPr>
                <w:b/>
              </w:rPr>
              <w:t xml:space="preserve">Title slide: </w:t>
            </w:r>
            <w:r w:rsidR="00BF7314" w:rsidRPr="00BF7314">
              <w:rPr>
                <w:b/>
              </w:rPr>
              <w:t xml:space="preserve">Regional Analgesia for </w:t>
            </w:r>
            <w:r w:rsidR="00BF7314" w:rsidRPr="00BF7314">
              <w:rPr>
                <w:b/>
              </w:rPr>
              <w:br/>
              <w:t>Total Hip Arthroplasty and Total Knee Arthroplasty</w:t>
            </w:r>
          </w:p>
          <w:p w14:paraId="48FE8051" w14:textId="66AB6ACA" w:rsidR="00F14BBA" w:rsidRDefault="00F14BBA" w:rsidP="00550E76">
            <w:pPr>
              <w:pStyle w:val="TableParagraph"/>
            </w:pPr>
            <w:r>
              <w:t>Hello</w:t>
            </w:r>
            <w:r w:rsidR="00E4331D">
              <w:t>,</w:t>
            </w:r>
            <w:r>
              <w:t xml:space="preserve"> and thank you for joining me. </w:t>
            </w:r>
            <w:r w:rsidRPr="00F14BBA">
              <w:t>Today I'll be discussing</w:t>
            </w:r>
            <w:r>
              <w:t xml:space="preserve"> </w:t>
            </w:r>
            <w:r w:rsidR="006D5C06" w:rsidRPr="006D5C06">
              <w:t xml:space="preserve">regional analgesia for </w:t>
            </w:r>
            <w:r w:rsidR="00CC5C68">
              <w:t xml:space="preserve">total knee and total hip </w:t>
            </w:r>
            <w:r w:rsidR="006D5C06" w:rsidRPr="006D5C06">
              <w:t>replacement</w:t>
            </w:r>
            <w:r w:rsidR="00CC5C68">
              <w:t xml:space="preserve"> surgery, components of the </w:t>
            </w:r>
            <w:r>
              <w:t>Agency for Healthcare Research and Quality</w:t>
            </w:r>
            <w:r w:rsidR="006D5C06">
              <w:t>’s</w:t>
            </w:r>
            <w:r>
              <w:t xml:space="preserve">, </w:t>
            </w:r>
            <w:r w:rsidR="006D5C06">
              <w:t xml:space="preserve">or </w:t>
            </w:r>
            <w:r>
              <w:t>AHRQ</w:t>
            </w:r>
            <w:r w:rsidR="006D5C06">
              <w:t>’s</w:t>
            </w:r>
            <w:r>
              <w:t xml:space="preserve">, </w:t>
            </w:r>
            <w:r w:rsidR="00CC5C68">
              <w:t>S</w:t>
            </w:r>
            <w:r w:rsidR="00CC5C68" w:rsidRPr="00F14BBA">
              <w:t xml:space="preserve">afety </w:t>
            </w:r>
            <w:r w:rsidR="00CC5C68">
              <w:t>P</w:t>
            </w:r>
            <w:r w:rsidRPr="00F14BBA">
              <w:t xml:space="preserve">rogram for </w:t>
            </w:r>
            <w:r w:rsidR="00CC5C68">
              <w:t>I</w:t>
            </w:r>
            <w:r w:rsidRPr="00F14BBA">
              <w:t xml:space="preserve">mproving </w:t>
            </w:r>
            <w:r w:rsidR="00CC5C68">
              <w:t>S</w:t>
            </w:r>
            <w:r w:rsidRPr="00F14BBA">
              <w:t xml:space="preserve">urgical </w:t>
            </w:r>
            <w:r w:rsidR="00CC5C68">
              <w:t>C</w:t>
            </w:r>
            <w:r w:rsidRPr="00F14BBA">
              <w:t>are</w:t>
            </w:r>
            <w:r w:rsidR="00CC5C68">
              <w:t xml:space="preserve"> and</w:t>
            </w:r>
            <w:r w:rsidRPr="00F14BBA">
              <w:t xml:space="preserve"> </w:t>
            </w:r>
            <w:r w:rsidR="00CC5C68">
              <w:t>R</w:t>
            </w:r>
            <w:r w:rsidRPr="00F14BBA">
              <w:t>ecovery</w:t>
            </w:r>
            <w:r>
              <w:t>, or ISCR</w:t>
            </w:r>
            <w:r w:rsidR="00550E76">
              <w:t xml:space="preserve">. </w:t>
            </w:r>
            <w:r w:rsidR="00CC5C68">
              <w:t>The ISCR program provides evidence-based recommendations for perioperative care.</w:t>
            </w:r>
          </w:p>
        </w:tc>
        <w:tc>
          <w:tcPr>
            <w:tcW w:w="4590" w:type="dxa"/>
          </w:tcPr>
          <w:p w14:paraId="1B1EDE8E" w14:textId="77777777" w:rsidR="00F14BBA" w:rsidRPr="00C31D41" w:rsidRDefault="00F14BBA" w:rsidP="00F14BBA">
            <w:pPr>
              <w:pStyle w:val="TableParagraph"/>
              <w:rPr>
                <w:b/>
              </w:rPr>
            </w:pPr>
            <w:r w:rsidRPr="00C31D41">
              <w:rPr>
                <w:b/>
              </w:rPr>
              <w:t>Slide 1</w:t>
            </w:r>
          </w:p>
          <w:p w14:paraId="668D8F19" w14:textId="13AE7554" w:rsidR="00A2687C" w:rsidRDefault="00106792" w:rsidP="00874295">
            <w:pPr>
              <w:pStyle w:val="TableParagraph"/>
              <w:spacing w:after="120" w:line="240" w:lineRule="auto"/>
            </w:pPr>
            <w:r>
              <w:rPr>
                <w:noProof/>
              </w:rPr>
              <w:drawing>
                <wp:inline distT="0" distB="0" distL="0" distR="0" wp14:anchorId="26D7E212" wp14:editId="61915F82">
                  <wp:extent cx="2774950" cy="2084791"/>
                  <wp:effectExtent l="0" t="0" r="6350" b="0"/>
                  <wp:docPr id="8" name="Picture 8"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1"/>
                          <pic:cNvPicPr/>
                        </pic:nvPicPr>
                        <pic:blipFill>
                          <a:blip r:embed="rId11"/>
                          <a:stretch>
                            <a:fillRect/>
                          </a:stretch>
                        </pic:blipFill>
                        <pic:spPr>
                          <a:xfrm>
                            <a:off x="0" y="0"/>
                            <a:ext cx="2781667" cy="2089837"/>
                          </a:xfrm>
                          <a:prstGeom prst="rect">
                            <a:avLst/>
                          </a:prstGeom>
                        </pic:spPr>
                      </pic:pic>
                    </a:graphicData>
                  </a:graphic>
                </wp:inline>
              </w:drawing>
            </w:r>
          </w:p>
        </w:tc>
      </w:tr>
      <w:tr w:rsidR="00106792" w14:paraId="486D3A80" w14:textId="77777777" w:rsidTr="00C31D41">
        <w:trPr>
          <w:cantSplit/>
        </w:trPr>
        <w:tc>
          <w:tcPr>
            <w:tcW w:w="5575" w:type="dxa"/>
          </w:tcPr>
          <w:p w14:paraId="2655964A" w14:textId="09207D5B" w:rsidR="00463B84" w:rsidRDefault="00463B84" w:rsidP="00F14BBA">
            <w:pPr>
              <w:pStyle w:val="TableParagraph"/>
              <w:rPr>
                <w:b/>
              </w:rPr>
            </w:pPr>
            <w:r>
              <w:rPr>
                <w:b/>
              </w:rPr>
              <w:t>Why Use Regional</w:t>
            </w:r>
            <w:r w:rsidR="00C56896">
              <w:rPr>
                <w:b/>
              </w:rPr>
              <w:t xml:space="preserve"> Analgesia</w:t>
            </w:r>
            <w:r>
              <w:rPr>
                <w:b/>
              </w:rPr>
              <w:t>?</w:t>
            </w:r>
          </w:p>
          <w:p w14:paraId="36CE73E7" w14:textId="19E17262" w:rsidR="00463B84" w:rsidRPr="00AA150A" w:rsidRDefault="00BF4BF2" w:rsidP="00836181">
            <w:pPr>
              <w:pStyle w:val="TableParagraph"/>
              <w:spacing w:after="120"/>
              <w:rPr>
                <w:bCs/>
              </w:rPr>
            </w:pPr>
            <w:r>
              <w:rPr>
                <w:bCs/>
              </w:rPr>
              <w:t>Regional analgesia is commonly employed to optimize pain management as it involves the administration of local anesthetic directly to the nerves that carry pain impulses.  This reduces reliance upon opioid-based medications, which have a number of unwanted side effects, including nausea/vomiting, constipation</w:t>
            </w:r>
            <w:r w:rsidR="00E4331D">
              <w:rPr>
                <w:bCs/>
              </w:rPr>
              <w:t>,</w:t>
            </w:r>
            <w:r>
              <w:rPr>
                <w:bCs/>
              </w:rPr>
              <w:t xml:space="preserve"> and respiratory depression.  Regional is ideal </w:t>
            </w:r>
            <w:r w:rsidR="00E4331D">
              <w:rPr>
                <w:bCs/>
              </w:rPr>
              <w:t>for</w:t>
            </w:r>
            <w:r>
              <w:rPr>
                <w:bCs/>
              </w:rPr>
              <w:t xml:space="preserve"> orthopedic procedures because it can target discrete surgical incisions and the anatomy is predictable. Finally, both elective and nonelective procedures are amenable to regional analgesia provided the patient doesn’t have certain contraindications, which are discussed later in this presentation.  </w:t>
            </w:r>
          </w:p>
        </w:tc>
        <w:tc>
          <w:tcPr>
            <w:tcW w:w="4590" w:type="dxa"/>
          </w:tcPr>
          <w:p w14:paraId="5DE1E956" w14:textId="77777777" w:rsidR="00A2687C" w:rsidRDefault="00C31D41" w:rsidP="00F14BBA">
            <w:pPr>
              <w:pStyle w:val="TableParagraph"/>
              <w:rPr>
                <w:b/>
              </w:rPr>
            </w:pPr>
            <w:r w:rsidRPr="00C31D41">
              <w:rPr>
                <w:b/>
              </w:rPr>
              <w:t>Slide 2</w:t>
            </w:r>
          </w:p>
          <w:p w14:paraId="294147D3" w14:textId="09B42EEC" w:rsidR="00106792" w:rsidRPr="00C31D41" w:rsidRDefault="00106792" w:rsidP="00874295">
            <w:pPr>
              <w:pStyle w:val="TableParagraph"/>
              <w:spacing w:after="120" w:line="240" w:lineRule="auto"/>
              <w:rPr>
                <w:b/>
              </w:rPr>
            </w:pPr>
            <w:r>
              <w:rPr>
                <w:noProof/>
              </w:rPr>
              <w:drawing>
                <wp:inline distT="0" distB="0" distL="0" distR="0" wp14:anchorId="6078CE2D" wp14:editId="2061BC02">
                  <wp:extent cx="2808918" cy="2120900"/>
                  <wp:effectExtent l="0" t="0" r="0" b="0"/>
                  <wp:docPr id="9" name="Picture 9"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2"/>
                          <pic:cNvPicPr/>
                        </pic:nvPicPr>
                        <pic:blipFill>
                          <a:blip r:embed="rId12"/>
                          <a:stretch>
                            <a:fillRect/>
                          </a:stretch>
                        </pic:blipFill>
                        <pic:spPr>
                          <a:xfrm>
                            <a:off x="0" y="0"/>
                            <a:ext cx="2812591" cy="2123674"/>
                          </a:xfrm>
                          <a:prstGeom prst="rect">
                            <a:avLst/>
                          </a:prstGeom>
                        </pic:spPr>
                      </pic:pic>
                    </a:graphicData>
                  </a:graphic>
                </wp:inline>
              </w:drawing>
            </w:r>
          </w:p>
        </w:tc>
      </w:tr>
      <w:tr w:rsidR="00106792" w14:paraId="1B462909" w14:textId="77777777" w:rsidTr="00C31D41">
        <w:trPr>
          <w:cantSplit/>
        </w:trPr>
        <w:tc>
          <w:tcPr>
            <w:tcW w:w="5575" w:type="dxa"/>
          </w:tcPr>
          <w:p w14:paraId="193BEA59" w14:textId="77777777" w:rsidR="00F14BBA" w:rsidRPr="00550E76" w:rsidRDefault="00550E76" w:rsidP="00F14BBA">
            <w:pPr>
              <w:pStyle w:val="TableParagraph"/>
              <w:rPr>
                <w:b/>
              </w:rPr>
            </w:pPr>
            <w:r w:rsidRPr="00550E76">
              <w:rPr>
                <w:b/>
              </w:rPr>
              <w:lastRenderedPageBreak/>
              <w:t>Types of Regional Techniques</w:t>
            </w:r>
          </w:p>
          <w:p w14:paraId="1F998D3F" w14:textId="6EC59BE9" w:rsidR="00550E76" w:rsidRDefault="00550E76" w:rsidP="00836181">
            <w:pPr>
              <w:pStyle w:val="TableParagraph"/>
              <w:spacing w:after="120"/>
            </w:pPr>
            <w:r w:rsidRPr="00550E76">
              <w:t xml:space="preserve">When </w:t>
            </w:r>
            <w:r w:rsidR="00CE62A7">
              <w:t>you</w:t>
            </w:r>
            <w:r w:rsidRPr="00550E76">
              <w:t xml:space="preserve"> consider the use of regional </w:t>
            </w:r>
            <w:r w:rsidR="00C56896">
              <w:t>analgesia</w:t>
            </w:r>
            <w:r w:rsidR="006D5C06">
              <w:t xml:space="preserve"> </w:t>
            </w:r>
            <w:r w:rsidRPr="00550E76">
              <w:t xml:space="preserve">techniques for both </w:t>
            </w:r>
            <w:r w:rsidR="00C56896">
              <w:t xml:space="preserve">elective </w:t>
            </w:r>
            <w:r w:rsidRPr="00550E76">
              <w:t>hip and knee replacement</w:t>
            </w:r>
            <w:r w:rsidR="00463B84">
              <w:t xml:space="preserve"> surgery</w:t>
            </w:r>
            <w:r w:rsidRPr="00550E76">
              <w:t xml:space="preserve">, </w:t>
            </w:r>
            <w:r w:rsidR="00167615">
              <w:t xml:space="preserve">note that </w:t>
            </w:r>
            <w:r w:rsidR="00CE62A7">
              <w:t>there are</w:t>
            </w:r>
            <w:r w:rsidRPr="00550E76">
              <w:t xml:space="preserve"> two broad categories: neuraxial, which includes epidurals and spinals, </w:t>
            </w:r>
            <w:r w:rsidR="004747F7" w:rsidRPr="00AA150A">
              <w:t>and</w:t>
            </w:r>
            <w:r w:rsidR="004747F7" w:rsidRPr="00550E76">
              <w:t xml:space="preserve"> </w:t>
            </w:r>
            <w:r w:rsidRPr="00550E76">
              <w:t xml:space="preserve">peripheral nerve blocks. </w:t>
            </w:r>
            <w:r w:rsidR="00D93320">
              <w:t xml:space="preserve">Epidurals and spinals provide </w:t>
            </w:r>
            <w:r w:rsidR="00E4331D">
              <w:t xml:space="preserve">a </w:t>
            </w:r>
            <w:r w:rsidR="00D93320">
              <w:t xml:space="preserve">broad, indiscriminate blockade to nerves below the level </w:t>
            </w:r>
            <w:r w:rsidR="00E4331D">
              <w:t xml:space="preserve">where </w:t>
            </w:r>
            <w:r w:rsidR="00D93320">
              <w:t>they are placed, whereas p</w:t>
            </w:r>
            <w:r w:rsidRPr="00550E76">
              <w:t>eripheral nerve blocks specifically target a nerve or group of nerves</w:t>
            </w:r>
            <w:r w:rsidR="00D93320">
              <w:t xml:space="preserve"> and provide more discrete coverage. For example, i</w:t>
            </w:r>
            <w:r w:rsidRPr="00550E76">
              <w:t>f you look to target the femoral nerve distribution, you might consider the lumbar plexus, femoral, or abductor canal block. If, however, you wish to target the sciatic distribution, you might consider the sciatic or popliteal nerve blocks.</w:t>
            </w:r>
          </w:p>
        </w:tc>
        <w:tc>
          <w:tcPr>
            <w:tcW w:w="4590" w:type="dxa"/>
          </w:tcPr>
          <w:p w14:paraId="7F0E16A6" w14:textId="77777777" w:rsidR="00F14BBA" w:rsidRPr="00C31D41" w:rsidRDefault="00F14BBA" w:rsidP="00F14BBA">
            <w:pPr>
              <w:pStyle w:val="TableParagraph"/>
              <w:rPr>
                <w:b/>
              </w:rPr>
            </w:pPr>
            <w:r w:rsidRPr="00C31D41">
              <w:rPr>
                <w:b/>
              </w:rPr>
              <w:t xml:space="preserve">Slide </w:t>
            </w:r>
            <w:r w:rsidR="00463B84" w:rsidRPr="00C31D41">
              <w:rPr>
                <w:b/>
              </w:rPr>
              <w:t>3</w:t>
            </w:r>
          </w:p>
          <w:p w14:paraId="60CC5E2F" w14:textId="5610FA07" w:rsidR="00A2687C" w:rsidRDefault="00106792" w:rsidP="00874295">
            <w:pPr>
              <w:pStyle w:val="TableParagraph"/>
              <w:spacing w:after="120" w:line="240" w:lineRule="auto"/>
            </w:pPr>
            <w:r>
              <w:rPr>
                <w:noProof/>
              </w:rPr>
              <w:drawing>
                <wp:inline distT="0" distB="0" distL="0" distR="0" wp14:anchorId="6454B48F" wp14:editId="02459981">
                  <wp:extent cx="2801782" cy="2095500"/>
                  <wp:effectExtent l="0" t="0" r="0" b="0"/>
                  <wp:docPr id="10" name="Picture 10"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3"/>
                          <pic:cNvPicPr/>
                        </pic:nvPicPr>
                        <pic:blipFill>
                          <a:blip r:embed="rId13"/>
                          <a:stretch>
                            <a:fillRect/>
                          </a:stretch>
                        </pic:blipFill>
                        <pic:spPr>
                          <a:xfrm>
                            <a:off x="0" y="0"/>
                            <a:ext cx="2811856" cy="2103034"/>
                          </a:xfrm>
                          <a:prstGeom prst="rect">
                            <a:avLst/>
                          </a:prstGeom>
                        </pic:spPr>
                      </pic:pic>
                    </a:graphicData>
                  </a:graphic>
                </wp:inline>
              </w:drawing>
            </w:r>
          </w:p>
        </w:tc>
      </w:tr>
      <w:tr w:rsidR="00106792" w14:paraId="3BC633C2" w14:textId="77777777" w:rsidTr="00C31D41">
        <w:trPr>
          <w:cantSplit/>
        </w:trPr>
        <w:tc>
          <w:tcPr>
            <w:tcW w:w="5575" w:type="dxa"/>
          </w:tcPr>
          <w:p w14:paraId="6F3AB8CA" w14:textId="02F557D2" w:rsidR="00F14BBA" w:rsidRPr="00550E76" w:rsidRDefault="00550E76" w:rsidP="00F14BBA">
            <w:pPr>
              <w:pStyle w:val="TableParagraph"/>
              <w:rPr>
                <w:b/>
              </w:rPr>
            </w:pPr>
            <w:r w:rsidRPr="00550E76">
              <w:rPr>
                <w:b/>
              </w:rPr>
              <w:t>What Block To Use?</w:t>
            </w:r>
            <w:r w:rsidR="00C56896">
              <w:rPr>
                <w:b/>
              </w:rPr>
              <w:t xml:space="preserve"> (Part 1)</w:t>
            </w:r>
          </w:p>
          <w:p w14:paraId="6DA110B0" w14:textId="6E87AF76" w:rsidR="00550E76" w:rsidRDefault="00D93320" w:rsidP="00836181">
            <w:pPr>
              <w:pStyle w:val="TableParagraph"/>
              <w:spacing w:after="120"/>
            </w:pPr>
            <w:r>
              <w:t>When deciding what</w:t>
            </w:r>
            <w:r w:rsidR="00550E76" w:rsidRPr="00550E76">
              <w:t xml:space="preserve"> type of block </w:t>
            </w:r>
            <w:r>
              <w:t xml:space="preserve">one </w:t>
            </w:r>
            <w:r w:rsidR="00C56896" w:rsidRPr="00550E76">
              <w:t>should</w:t>
            </w:r>
            <w:r>
              <w:t xml:space="preserve"> use, there are several major factors to consider</w:t>
            </w:r>
            <w:r w:rsidR="00550E76" w:rsidRPr="00550E76">
              <w:t xml:space="preserve">. </w:t>
            </w:r>
            <w:r>
              <w:t>These include</w:t>
            </w:r>
            <w:r w:rsidR="00550E76" w:rsidRPr="00550E76">
              <w:t xml:space="preserve"> </w:t>
            </w:r>
            <w:r w:rsidR="00140190">
              <w:t xml:space="preserve">the match of </w:t>
            </w:r>
            <w:r w:rsidR="00550E76" w:rsidRPr="00550E76">
              <w:t>the anatomical nerve distribution of a block to the surgical site</w:t>
            </w:r>
            <w:r>
              <w:t xml:space="preserve">, </w:t>
            </w:r>
            <w:r w:rsidR="00550E76" w:rsidRPr="00550E76">
              <w:t>the side effect profiles for each block, and finally your own local expertise and resources.</w:t>
            </w:r>
          </w:p>
        </w:tc>
        <w:tc>
          <w:tcPr>
            <w:tcW w:w="4590" w:type="dxa"/>
          </w:tcPr>
          <w:p w14:paraId="72594476" w14:textId="77777777" w:rsidR="00F14BBA" w:rsidRPr="00C31D41" w:rsidRDefault="00F14BBA" w:rsidP="00F14BBA">
            <w:pPr>
              <w:pStyle w:val="TableParagraph"/>
              <w:rPr>
                <w:b/>
              </w:rPr>
            </w:pPr>
            <w:r w:rsidRPr="00C31D41">
              <w:rPr>
                <w:b/>
              </w:rPr>
              <w:t xml:space="preserve">Slide </w:t>
            </w:r>
            <w:r w:rsidR="00463B84" w:rsidRPr="00C31D41">
              <w:rPr>
                <w:b/>
              </w:rPr>
              <w:t>4</w:t>
            </w:r>
          </w:p>
          <w:p w14:paraId="570A28A5" w14:textId="78874524" w:rsidR="00C31D41" w:rsidRDefault="00106792" w:rsidP="00874295">
            <w:pPr>
              <w:pStyle w:val="TableParagraph"/>
              <w:spacing w:after="120" w:line="240" w:lineRule="auto"/>
            </w:pPr>
            <w:r>
              <w:rPr>
                <w:noProof/>
              </w:rPr>
              <w:drawing>
                <wp:inline distT="0" distB="0" distL="0" distR="0" wp14:anchorId="78747F45" wp14:editId="0A33195D">
                  <wp:extent cx="2787650" cy="2104841"/>
                  <wp:effectExtent l="0" t="0" r="0" b="0"/>
                  <wp:docPr id="11" name="Picture 11"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4"/>
                          <pic:cNvPicPr/>
                        </pic:nvPicPr>
                        <pic:blipFill>
                          <a:blip r:embed="rId14"/>
                          <a:stretch>
                            <a:fillRect/>
                          </a:stretch>
                        </pic:blipFill>
                        <pic:spPr>
                          <a:xfrm>
                            <a:off x="0" y="0"/>
                            <a:ext cx="2797053" cy="2111941"/>
                          </a:xfrm>
                          <a:prstGeom prst="rect">
                            <a:avLst/>
                          </a:prstGeom>
                        </pic:spPr>
                      </pic:pic>
                    </a:graphicData>
                  </a:graphic>
                </wp:inline>
              </w:drawing>
            </w:r>
          </w:p>
        </w:tc>
      </w:tr>
      <w:tr w:rsidR="00106792" w14:paraId="2BFC4765" w14:textId="77777777" w:rsidTr="00C31D41">
        <w:trPr>
          <w:cantSplit/>
        </w:trPr>
        <w:tc>
          <w:tcPr>
            <w:tcW w:w="5575" w:type="dxa"/>
          </w:tcPr>
          <w:p w14:paraId="59664FF9" w14:textId="1B211C65" w:rsidR="00F14BBA" w:rsidRPr="00550E76" w:rsidRDefault="00D93320" w:rsidP="00F14BBA">
            <w:pPr>
              <w:pStyle w:val="TableParagraph"/>
              <w:rPr>
                <w:b/>
              </w:rPr>
            </w:pPr>
            <w:r w:rsidRPr="00550E76">
              <w:rPr>
                <w:b/>
              </w:rPr>
              <w:lastRenderedPageBreak/>
              <w:t>Wh</w:t>
            </w:r>
            <w:r>
              <w:rPr>
                <w:b/>
              </w:rPr>
              <w:t>at</w:t>
            </w:r>
            <w:r w:rsidRPr="00550E76">
              <w:rPr>
                <w:b/>
              </w:rPr>
              <w:t xml:space="preserve"> </w:t>
            </w:r>
            <w:r w:rsidR="00550E76" w:rsidRPr="00550E76">
              <w:rPr>
                <w:b/>
              </w:rPr>
              <w:t>Block To Use?</w:t>
            </w:r>
            <w:r w:rsidR="00C56896">
              <w:rPr>
                <w:b/>
              </w:rPr>
              <w:t xml:space="preserve"> (Part 2)</w:t>
            </w:r>
          </w:p>
          <w:p w14:paraId="5027C04A" w14:textId="6F914C51" w:rsidR="00FF7938" w:rsidRDefault="00B55404" w:rsidP="00F14BBA">
            <w:pPr>
              <w:pStyle w:val="TableParagraph"/>
            </w:pPr>
            <w:r>
              <w:t>Something</w:t>
            </w:r>
            <w:r w:rsidR="00550E76" w:rsidRPr="00550E76">
              <w:t xml:space="preserve"> important </w:t>
            </w:r>
            <w:r>
              <w:t xml:space="preserve">to remember </w:t>
            </w:r>
            <w:r w:rsidR="00550E76" w:rsidRPr="00550E76">
              <w:t xml:space="preserve">is </w:t>
            </w:r>
            <w:r>
              <w:t xml:space="preserve">to </w:t>
            </w:r>
            <w:r w:rsidR="00550E76" w:rsidRPr="00550E76">
              <w:t xml:space="preserve">match the anatomic distribution of the block to the surgical site. </w:t>
            </w:r>
            <w:r w:rsidR="00E80AF4">
              <w:t>H</w:t>
            </w:r>
            <w:r w:rsidR="00550E76" w:rsidRPr="00550E76">
              <w:t xml:space="preserve">ip and knee replacement surgeries require coverage of slightly different nerve distributions. </w:t>
            </w:r>
          </w:p>
          <w:p w14:paraId="2863F645" w14:textId="2CF851FD" w:rsidR="00FF7938" w:rsidRDefault="00FF7938" w:rsidP="00F14BBA">
            <w:pPr>
              <w:pStyle w:val="TableParagraph"/>
            </w:pPr>
            <w:r>
              <w:t>Providers may choose a n</w:t>
            </w:r>
            <w:r w:rsidR="00550E76" w:rsidRPr="00550E76">
              <w:t>euraxial</w:t>
            </w:r>
            <w:r>
              <w:t xml:space="preserve"> technique</w:t>
            </w:r>
            <w:r w:rsidR="00550E76" w:rsidRPr="00550E76">
              <w:t xml:space="preserve">, which blocks all nerves from that level of the spine downward, </w:t>
            </w:r>
            <w:r>
              <w:t>in order to</w:t>
            </w:r>
            <w:r w:rsidR="00550E76" w:rsidRPr="00550E76">
              <w:t xml:space="preserve"> cover each of these surgical approaches. </w:t>
            </w:r>
            <w:r>
              <w:t xml:space="preserve">This technique is often technically more straightforward than a peripheral nerve block, but won’t specifically block a single nerve distribution area.  </w:t>
            </w:r>
          </w:p>
          <w:p w14:paraId="49FACE7A" w14:textId="093AFAAB" w:rsidR="00550E76" w:rsidRDefault="00FF7938" w:rsidP="00F14BBA">
            <w:pPr>
              <w:pStyle w:val="TableParagraph"/>
            </w:pPr>
            <w:r>
              <w:t>Therefore</w:t>
            </w:r>
            <w:r w:rsidR="00550E76" w:rsidRPr="00550E76">
              <w:t>, if</w:t>
            </w:r>
            <w:r w:rsidR="00CE62A7">
              <w:t xml:space="preserve"> </w:t>
            </w:r>
            <w:r w:rsidR="00550E76" w:rsidRPr="00550E76">
              <w:t xml:space="preserve">you desire to </w:t>
            </w:r>
            <w:r>
              <w:t>only specifically cover the side and site of the</w:t>
            </w:r>
            <w:r w:rsidR="00550E76" w:rsidRPr="00550E76">
              <w:t xml:space="preserve"> incision for a hip replacement, which primarily involve</w:t>
            </w:r>
            <w:r w:rsidR="00CE62A7">
              <w:t>s</w:t>
            </w:r>
            <w:r w:rsidR="00550E76" w:rsidRPr="00550E76">
              <w:t xml:space="preserve"> the femoral nerve distribution, you would perform a peripheral femoral nerve block. A knee </w:t>
            </w:r>
            <w:r w:rsidR="00981AFE">
              <w:t>replacement</w:t>
            </w:r>
            <w:r w:rsidR="00630EA3">
              <w:t>,</w:t>
            </w:r>
            <w:r w:rsidR="00550E76" w:rsidRPr="00550E76">
              <w:t xml:space="preserve"> in contrast, requires both the femoral nerve and sciatic nerve to be c</w:t>
            </w:r>
            <w:r w:rsidR="00CE62A7">
              <w:t>overed</w:t>
            </w:r>
            <w:r>
              <w:t xml:space="preserve"> and therefore may require two separate peripheral nerve</w:t>
            </w:r>
            <w:r w:rsidR="00630EA3">
              <w:t>-</w:t>
            </w:r>
            <w:r>
              <w:t>blocking techniques</w:t>
            </w:r>
            <w:r w:rsidR="00550E76" w:rsidRPr="00550E76">
              <w:t>.</w:t>
            </w:r>
            <w:r w:rsidR="00414AC0">
              <w:t xml:space="preserve"> </w:t>
            </w:r>
          </w:p>
          <w:p w14:paraId="3DBC6FF2" w14:textId="49DF90F1" w:rsidR="00414AC0" w:rsidRDefault="00414AC0" w:rsidP="00836181">
            <w:pPr>
              <w:pStyle w:val="TableParagraph"/>
              <w:spacing w:after="120"/>
            </w:pPr>
            <w:r>
              <w:t xml:space="preserve">As you can see, several regional options </w:t>
            </w:r>
            <w:r w:rsidR="00630EA3">
              <w:t xml:space="preserve">are </w:t>
            </w:r>
            <w:r>
              <w:t xml:space="preserve">available to appropriately cover these two types of procedures. The decision to use one technique over another will therefore depend on the potential side effects of those regional techniques and your local resources and expertise. </w:t>
            </w:r>
          </w:p>
        </w:tc>
        <w:tc>
          <w:tcPr>
            <w:tcW w:w="4590" w:type="dxa"/>
          </w:tcPr>
          <w:p w14:paraId="3C33AAB0" w14:textId="77777777" w:rsidR="00F14BBA" w:rsidRPr="00C31D41" w:rsidRDefault="00F14BBA" w:rsidP="00F14BBA">
            <w:pPr>
              <w:pStyle w:val="TableParagraph"/>
              <w:rPr>
                <w:b/>
              </w:rPr>
            </w:pPr>
            <w:r w:rsidRPr="00C31D41">
              <w:rPr>
                <w:b/>
              </w:rPr>
              <w:t xml:space="preserve">Slide </w:t>
            </w:r>
            <w:r w:rsidR="00463B84" w:rsidRPr="00C31D41">
              <w:rPr>
                <w:b/>
              </w:rPr>
              <w:t>5</w:t>
            </w:r>
          </w:p>
          <w:p w14:paraId="011F61EC" w14:textId="0D03BA0D" w:rsidR="00C31D41" w:rsidRDefault="00106792" w:rsidP="00874295">
            <w:pPr>
              <w:pStyle w:val="TableParagraph"/>
              <w:spacing w:after="120" w:line="240" w:lineRule="auto"/>
            </w:pPr>
            <w:r>
              <w:rPr>
                <w:noProof/>
              </w:rPr>
              <w:drawing>
                <wp:inline distT="0" distB="0" distL="0" distR="0" wp14:anchorId="630532F4" wp14:editId="6F3854AB">
                  <wp:extent cx="2781300" cy="2099496"/>
                  <wp:effectExtent l="0" t="0" r="0" b="0"/>
                  <wp:docPr id="12" name="Picture 12"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5"/>
                          <pic:cNvPicPr/>
                        </pic:nvPicPr>
                        <pic:blipFill>
                          <a:blip r:embed="rId15"/>
                          <a:stretch>
                            <a:fillRect/>
                          </a:stretch>
                        </pic:blipFill>
                        <pic:spPr>
                          <a:xfrm>
                            <a:off x="0" y="0"/>
                            <a:ext cx="2789412" cy="2105620"/>
                          </a:xfrm>
                          <a:prstGeom prst="rect">
                            <a:avLst/>
                          </a:prstGeom>
                        </pic:spPr>
                      </pic:pic>
                    </a:graphicData>
                  </a:graphic>
                </wp:inline>
              </w:drawing>
            </w:r>
          </w:p>
        </w:tc>
      </w:tr>
      <w:tr w:rsidR="00106792" w14:paraId="234FAC5B" w14:textId="77777777" w:rsidTr="00C31D41">
        <w:trPr>
          <w:cantSplit/>
        </w:trPr>
        <w:tc>
          <w:tcPr>
            <w:tcW w:w="5575" w:type="dxa"/>
          </w:tcPr>
          <w:p w14:paraId="463D431A" w14:textId="3EE6134F" w:rsidR="00F14BBA" w:rsidRPr="00550E76" w:rsidRDefault="00550E76" w:rsidP="00F14BBA">
            <w:pPr>
              <w:pStyle w:val="TableParagraph"/>
              <w:rPr>
                <w:b/>
              </w:rPr>
            </w:pPr>
            <w:r w:rsidRPr="00550E76">
              <w:rPr>
                <w:b/>
              </w:rPr>
              <w:lastRenderedPageBreak/>
              <w:t>Side Effect Profile</w:t>
            </w:r>
          </w:p>
          <w:p w14:paraId="084BAB10" w14:textId="4093FF01" w:rsidR="00E4331D" w:rsidRPr="00E4331D" w:rsidRDefault="00550E76" w:rsidP="00836181">
            <w:pPr>
              <w:tabs>
                <w:tab w:val="left" w:pos="4540"/>
              </w:tabs>
              <w:spacing w:after="120"/>
            </w:pPr>
            <w:r w:rsidRPr="00550E76">
              <w:t xml:space="preserve">Aside from the nerve distribution, one must also consider the side effect profile of each block type. The individual agents used in the block injectate can cause their own side effects, including hypotension for local anesthetics, nausea/vomiting and itching for opioids, </w:t>
            </w:r>
            <w:r w:rsidR="00414AC0">
              <w:t>and more</w:t>
            </w:r>
            <w:r w:rsidRPr="00550E76">
              <w:t xml:space="preserve">. But the site of action of a nerve technique carries additional considerations. Neuraxial blocks can lead to decreased blood pressure and profound motor nerve block, which may not be desirable for certain patients. </w:t>
            </w:r>
            <w:r w:rsidR="00414AC0">
              <w:t>P</w:t>
            </w:r>
            <w:r w:rsidRPr="00550E76">
              <w:t>eripheral nerve blocks have fewer of these side effects</w:t>
            </w:r>
            <w:r w:rsidR="00414AC0">
              <w:t xml:space="preserve"> because of more precise selection of</w:t>
            </w:r>
            <w:r w:rsidR="00D065C0">
              <w:t xml:space="preserve"> the</w:t>
            </w:r>
            <w:r w:rsidR="00414AC0">
              <w:t xml:space="preserve"> </w:t>
            </w:r>
            <w:r w:rsidR="00D065C0">
              <w:t xml:space="preserve">desired nerve distribution. Depending on the peripheral nerve block, unilateral </w:t>
            </w:r>
            <w:r w:rsidRPr="00550E76">
              <w:t xml:space="preserve">motor </w:t>
            </w:r>
            <w:r w:rsidR="00D065C0">
              <w:t xml:space="preserve">weakness </w:t>
            </w:r>
            <w:r w:rsidRPr="00550E76">
              <w:t>can result</w:t>
            </w:r>
            <w:r w:rsidR="00D065C0">
              <w:t xml:space="preserve">, though rarely </w:t>
            </w:r>
            <w:r w:rsidR="00630EA3">
              <w:t xml:space="preserve">to </w:t>
            </w:r>
            <w:r w:rsidR="00D065C0">
              <w:t xml:space="preserve">the same extent as </w:t>
            </w:r>
            <w:r w:rsidR="00566AB5">
              <w:t xml:space="preserve">is </w:t>
            </w:r>
            <w:r w:rsidR="00D065C0">
              <w:t xml:space="preserve">found with neuraxial analgesia.  </w:t>
            </w:r>
            <w:r w:rsidR="00E4331D">
              <w:rPr>
                <w:lang w:bidi="en-US"/>
              </w:rPr>
              <w:tab/>
            </w:r>
          </w:p>
        </w:tc>
        <w:tc>
          <w:tcPr>
            <w:tcW w:w="4590" w:type="dxa"/>
          </w:tcPr>
          <w:p w14:paraId="4B7E3308" w14:textId="77777777" w:rsidR="00F14BBA" w:rsidRPr="00C31D41" w:rsidRDefault="00F14BBA" w:rsidP="00F14BBA">
            <w:pPr>
              <w:pStyle w:val="TableParagraph"/>
              <w:rPr>
                <w:b/>
              </w:rPr>
            </w:pPr>
            <w:r w:rsidRPr="00C31D41">
              <w:rPr>
                <w:b/>
              </w:rPr>
              <w:t xml:space="preserve">Slide </w:t>
            </w:r>
            <w:r w:rsidR="00463B84" w:rsidRPr="00C31D41">
              <w:rPr>
                <w:b/>
              </w:rPr>
              <w:t>6</w:t>
            </w:r>
          </w:p>
          <w:p w14:paraId="59EE3AB9" w14:textId="678E9B4F" w:rsidR="00C31D41" w:rsidRDefault="00106792" w:rsidP="00874295">
            <w:pPr>
              <w:pStyle w:val="TableParagraph"/>
              <w:spacing w:after="120" w:line="240" w:lineRule="auto"/>
            </w:pPr>
            <w:r>
              <w:rPr>
                <w:noProof/>
              </w:rPr>
              <w:drawing>
                <wp:inline distT="0" distB="0" distL="0" distR="0" wp14:anchorId="64E90AA0" wp14:editId="5E9F8D89">
                  <wp:extent cx="2754630" cy="2059961"/>
                  <wp:effectExtent l="0" t="0" r="7620" b="0"/>
                  <wp:docPr id="13" name="Picture 13"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6"/>
                          <pic:cNvPicPr/>
                        </pic:nvPicPr>
                        <pic:blipFill>
                          <a:blip r:embed="rId16"/>
                          <a:stretch>
                            <a:fillRect/>
                          </a:stretch>
                        </pic:blipFill>
                        <pic:spPr>
                          <a:xfrm>
                            <a:off x="0" y="0"/>
                            <a:ext cx="2760677" cy="2064483"/>
                          </a:xfrm>
                          <a:prstGeom prst="rect">
                            <a:avLst/>
                          </a:prstGeom>
                        </pic:spPr>
                      </pic:pic>
                    </a:graphicData>
                  </a:graphic>
                </wp:inline>
              </w:drawing>
            </w:r>
          </w:p>
        </w:tc>
      </w:tr>
      <w:tr w:rsidR="00106792" w14:paraId="1144958E" w14:textId="77777777" w:rsidTr="00C31D41">
        <w:trPr>
          <w:cantSplit/>
        </w:trPr>
        <w:tc>
          <w:tcPr>
            <w:tcW w:w="5575" w:type="dxa"/>
          </w:tcPr>
          <w:p w14:paraId="2D1814FD" w14:textId="64C07086" w:rsidR="00F14BBA" w:rsidRPr="00550E76" w:rsidRDefault="00550E76" w:rsidP="00F14BBA">
            <w:pPr>
              <w:pStyle w:val="TableParagraph"/>
              <w:rPr>
                <w:b/>
              </w:rPr>
            </w:pPr>
            <w:r w:rsidRPr="00550E76">
              <w:rPr>
                <w:b/>
              </w:rPr>
              <w:t>Local Expertise and Resources</w:t>
            </w:r>
          </w:p>
          <w:p w14:paraId="4293D276" w14:textId="3B38633C" w:rsidR="00E4331D" w:rsidRPr="00E4331D" w:rsidRDefault="00072180" w:rsidP="00836181">
            <w:pPr>
              <w:pStyle w:val="TableParagraph"/>
              <w:spacing w:after="120"/>
            </w:pPr>
            <w:r w:rsidRPr="00072180">
              <w:t>One of the most important considerations in considering what block to use is the availability of local expertise and resources</w:t>
            </w:r>
            <w:r w:rsidR="00550E76" w:rsidRPr="00550E76">
              <w:t>. Not every clinician is fully trained or comfortable with providing these blocks</w:t>
            </w:r>
            <w:r w:rsidR="00D4424D">
              <w:t>,</w:t>
            </w:r>
            <w:r w:rsidR="00550E76" w:rsidRPr="00550E76">
              <w:t xml:space="preserve"> and often subspecialty training is desirable to be proficient in them. To properly manage patients with indwelling catheters (either epidural or peripheral nerve catheters) or intrathecal opioid administration, it is necessary to have appropriate monitoring and </w:t>
            </w:r>
            <w:proofErr w:type="spellStart"/>
            <w:r w:rsidR="00550E76" w:rsidRPr="00550E76">
              <w:t>followup</w:t>
            </w:r>
            <w:proofErr w:type="spellEnd"/>
            <w:r w:rsidR="00550E76" w:rsidRPr="00550E76">
              <w:t xml:space="preserve">. </w:t>
            </w:r>
            <w:r w:rsidR="00D065C0">
              <w:t xml:space="preserve">It is also true that peripheral nerve blocks require even more technical training and even ultrasound guidance to ensure success, which may represent an additional barrier to their adoption. </w:t>
            </w:r>
            <w:r w:rsidR="00550E76" w:rsidRPr="00550E76">
              <w:t>Given the labor and resource</w:t>
            </w:r>
            <w:r w:rsidR="00630EA3">
              <w:t>-</w:t>
            </w:r>
            <w:r w:rsidR="00550E76" w:rsidRPr="00550E76">
              <w:t>intensive aspects of regional analgesia, certain institutions may not be fully equipped to adopt a broad regional</w:t>
            </w:r>
            <w:r w:rsidR="00C7269D">
              <w:t xml:space="preserve"> </w:t>
            </w:r>
            <w:r>
              <w:t>analgesia</w:t>
            </w:r>
            <w:r w:rsidR="00550E76" w:rsidRPr="00821C93">
              <w:t xml:space="preserve"> </w:t>
            </w:r>
            <w:r w:rsidR="00550E76" w:rsidRPr="00550E76">
              <w:t xml:space="preserve">program to their individual service lines. Thus, it is important to tailor your choice of regional </w:t>
            </w:r>
            <w:r>
              <w:t xml:space="preserve">analgesia </w:t>
            </w:r>
            <w:r w:rsidR="00550E76" w:rsidRPr="00550E76">
              <w:t xml:space="preserve">based on not only </w:t>
            </w:r>
            <w:r w:rsidR="004C04FD">
              <w:t>what</w:t>
            </w:r>
            <w:r w:rsidR="004C04FD" w:rsidRPr="00550E76">
              <w:t xml:space="preserve"> </w:t>
            </w:r>
            <w:r w:rsidR="00550E76" w:rsidRPr="00550E76">
              <w:t>you have</w:t>
            </w:r>
            <w:r w:rsidR="00630EA3">
              <w:t xml:space="preserve"> and</w:t>
            </w:r>
            <w:r w:rsidR="00550E76" w:rsidRPr="00550E76">
              <w:t xml:space="preserve"> what your experts are comfortable with, but also what the hospital has in terms of resources and coverage.</w:t>
            </w:r>
          </w:p>
        </w:tc>
        <w:tc>
          <w:tcPr>
            <w:tcW w:w="4590" w:type="dxa"/>
          </w:tcPr>
          <w:p w14:paraId="26386EE7" w14:textId="77777777" w:rsidR="00F14BBA" w:rsidRPr="00C31D41" w:rsidRDefault="00F14BBA" w:rsidP="00F14BBA">
            <w:pPr>
              <w:pStyle w:val="TableParagraph"/>
              <w:rPr>
                <w:b/>
              </w:rPr>
            </w:pPr>
            <w:r w:rsidRPr="00C31D41">
              <w:rPr>
                <w:b/>
              </w:rPr>
              <w:t xml:space="preserve">Slide </w:t>
            </w:r>
            <w:r w:rsidR="00463B84" w:rsidRPr="00C31D41">
              <w:rPr>
                <w:b/>
              </w:rPr>
              <w:t>7</w:t>
            </w:r>
          </w:p>
          <w:p w14:paraId="3BFDC392" w14:textId="69BE4AB2" w:rsidR="00C31D41" w:rsidRDefault="00106792" w:rsidP="00874295">
            <w:pPr>
              <w:pStyle w:val="TableParagraph"/>
              <w:spacing w:after="120" w:line="240" w:lineRule="auto"/>
            </w:pPr>
            <w:r>
              <w:rPr>
                <w:noProof/>
              </w:rPr>
              <w:drawing>
                <wp:inline distT="0" distB="0" distL="0" distR="0" wp14:anchorId="44446E6D" wp14:editId="54AD28CB">
                  <wp:extent cx="2755031" cy="2070100"/>
                  <wp:effectExtent l="0" t="0" r="7620" b="6350"/>
                  <wp:docPr id="7" name="Picture 7"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lide 7"/>
                          <pic:cNvPicPr/>
                        </pic:nvPicPr>
                        <pic:blipFill>
                          <a:blip r:embed="rId17"/>
                          <a:stretch>
                            <a:fillRect/>
                          </a:stretch>
                        </pic:blipFill>
                        <pic:spPr>
                          <a:xfrm>
                            <a:off x="0" y="0"/>
                            <a:ext cx="2764829" cy="2077462"/>
                          </a:xfrm>
                          <a:prstGeom prst="rect">
                            <a:avLst/>
                          </a:prstGeom>
                        </pic:spPr>
                      </pic:pic>
                    </a:graphicData>
                  </a:graphic>
                </wp:inline>
              </w:drawing>
            </w:r>
          </w:p>
        </w:tc>
      </w:tr>
      <w:tr w:rsidR="00106792" w14:paraId="288A36EF" w14:textId="77777777" w:rsidTr="00C31D41">
        <w:trPr>
          <w:cantSplit/>
        </w:trPr>
        <w:tc>
          <w:tcPr>
            <w:tcW w:w="5575" w:type="dxa"/>
          </w:tcPr>
          <w:p w14:paraId="1389E3F1" w14:textId="77777777" w:rsidR="00F14BBA" w:rsidRPr="00550E76" w:rsidRDefault="00550E76" w:rsidP="00F14BBA">
            <w:pPr>
              <w:pStyle w:val="TableParagraph"/>
              <w:rPr>
                <w:b/>
              </w:rPr>
            </w:pPr>
            <w:r w:rsidRPr="00550E76">
              <w:rPr>
                <w:b/>
              </w:rPr>
              <w:lastRenderedPageBreak/>
              <w:t>Anticoagulation</w:t>
            </w:r>
          </w:p>
          <w:p w14:paraId="0F2A1014" w14:textId="13835AA2" w:rsidR="00550E76" w:rsidRDefault="00550E76" w:rsidP="00836181">
            <w:pPr>
              <w:pStyle w:val="TableParagraph"/>
              <w:spacing w:after="120"/>
            </w:pPr>
            <w:r w:rsidRPr="00550E76">
              <w:t>One particularly vital aspect to consider is the concurrent use of anticoagulation. Certainly, patients who undergo joint replacement surgery are at an elevated risk for DVT/PE</w:t>
            </w:r>
            <w:r w:rsidR="00630EA3">
              <w:t>,</w:t>
            </w:r>
            <w:r w:rsidRPr="00550E76">
              <w:t xml:space="preserve"> and one might anticipate that they will need perioperative anticoagulation. Guidelines</w:t>
            </w:r>
            <w:r w:rsidR="00DB5787">
              <w:t xml:space="preserve"> </w:t>
            </w:r>
            <w:r w:rsidRPr="00550E76">
              <w:t>from the American Society of Regional Anesthesia and Pain Medicine help guide clinicians on timing of neuraxial placement and recommendations regarding the use of regional analgesia in the setting of anticoagulation</w:t>
            </w:r>
            <w:r w:rsidR="00DB5787">
              <w:t xml:space="preserve"> to avoid the potential risk of neurological injury from epidural hematoma formation. </w:t>
            </w:r>
          </w:p>
        </w:tc>
        <w:tc>
          <w:tcPr>
            <w:tcW w:w="4590" w:type="dxa"/>
          </w:tcPr>
          <w:p w14:paraId="09485217" w14:textId="77777777" w:rsidR="00F14BBA" w:rsidRPr="00C31D41" w:rsidRDefault="00F14BBA" w:rsidP="00F14BBA">
            <w:pPr>
              <w:pStyle w:val="TableParagraph"/>
              <w:rPr>
                <w:b/>
              </w:rPr>
            </w:pPr>
            <w:r w:rsidRPr="00C31D41">
              <w:rPr>
                <w:b/>
              </w:rPr>
              <w:t xml:space="preserve">Slide </w:t>
            </w:r>
            <w:r w:rsidR="00463B84" w:rsidRPr="00C31D41">
              <w:rPr>
                <w:b/>
              </w:rPr>
              <w:t>8</w:t>
            </w:r>
          </w:p>
          <w:p w14:paraId="5BB7782D" w14:textId="11884E4A" w:rsidR="00C31D41" w:rsidRDefault="00106792" w:rsidP="00874295">
            <w:pPr>
              <w:pStyle w:val="TableParagraph"/>
              <w:spacing w:after="120" w:line="240" w:lineRule="auto"/>
            </w:pPr>
            <w:r>
              <w:rPr>
                <w:noProof/>
              </w:rPr>
              <w:drawing>
                <wp:inline distT="0" distB="0" distL="0" distR="0" wp14:anchorId="353033C4" wp14:editId="2E4668AA">
                  <wp:extent cx="2790654" cy="2101850"/>
                  <wp:effectExtent l="0" t="0" r="0" b="0"/>
                  <wp:docPr id="6" name="Picture 6"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8"/>
                          <pic:cNvPicPr/>
                        </pic:nvPicPr>
                        <pic:blipFill>
                          <a:blip r:embed="rId18"/>
                          <a:stretch>
                            <a:fillRect/>
                          </a:stretch>
                        </pic:blipFill>
                        <pic:spPr>
                          <a:xfrm>
                            <a:off x="0" y="0"/>
                            <a:ext cx="2808205" cy="2115069"/>
                          </a:xfrm>
                          <a:prstGeom prst="rect">
                            <a:avLst/>
                          </a:prstGeom>
                        </pic:spPr>
                      </pic:pic>
                    </a:graphicData>
                  </a:graphic>
                </wp:inline>
              </w:drawing>
            </w:r>
          </w:p>
        </w:tc>
      </w:tr>
      <w:tr w:rsidR="00106792" w14:paraId="66383D6D" w14:textId="77777777" w:rsidTr="00C31D41">
        <w:trPr>
          <w:cantSplit/>
        </w:trPr>
        <w:tc>
          <w:tcPr>
            <w:tcW w:w="5575" w:type="dxa"/>
          </w:tcPr>
          <w:p w14:paraId="38DB9020" w14:textId="77777777" w:rsidR="00550E76" w:rsidRPr="00AA150A" w:rsidRDefault="00550E76" w:rsidP="00F14BBA">
            <w:pPr>
              <w:pStyle w:val="TableParagraph"/>
              <w:rPr>
                <w:b/>
              </w:rPr>
            </w:pPr>
            <w:r w:rsidRPr="00AA150A">
              <w:rPr>
                <w:b/>
              </w:rPr>
              <w:t>Final Thoughts</w:t>
            </w:r>
          </w:p>
          <w:p w14:paraId="184FA9A8" w14:textId="3E47840C" w:rsidR="00550E76" w:rsidRPr="00AA150A" w:rsidRDefault="00550E76" w:rsidP="00550E76">
            <w:pPr>
              <w:pStyle w:val="TableParagraph"/>
            </w:pPr>
            <w:r w:rsidRPr="00550E76">
              <w:t>In general, the use of regional techniqu</w:t>
            </w:r>
            <w:r w:rsidRPr="00AA150A">
              <w:t xml:space="preserve">es </w:t>
            </w:r>
            <w:r w:rsidR="005E6FCE" w:rsidRPr="00AA150A">
              <w:t xml:space="preserve">is </w:t>
            </w:r>
            <w:r w:rsidRPr="00AA150A">
              <w:t xml:space="preserve">recommended, when feasible, for both hip and knee arthroplasty. The type of regional technique depends on the location of the surgery, the side effect profile of the agents, and the constraints of your local institution. Caution is necessary, particularly in the setting of concurrent use of anticoagulation.  </w:t>
            </w:r>
          </w:p>
          <w:p w14:paraId="6F95F3F2" w14:textId="47173A1E" w:rsidR="00550E76" w:rsidRDefault="006F4C4B" w:rsidP="00836181">
            <w:pPr>
              <w:pStyle w:val="TableParagraph"/>
              <w:spacing w:after="120"/>
            </w:pPr>
            <w:r w:rsidRPr="00AA150A">
              <w:rPr>
                <w:rFonts w:asciiTheme="minorHAnsi" w:eastAsiaTheme="minorHAnsi" w:hAnsiTheme="minorHAnsi" w:cstheme="minorBidi"/>
                <w:lang w:bidi="ar-SA"/>
              </w:rPr>
              <w:t>F</w:t>
            </w:r>
            <w:r w:rsidR="00550E76" w:rsidRPr="00AA150A">
              <w:t>or</w:t>
            </w:r>
            <w:r w:rsidR="00550E76" w:rsidRPr="00AA150A">
              <w:rPr>
                <w:rFonts w:asciiTheme="minorHAnsi" w:eastAsiaTheme="minorHAnsi" w:hAnsiTheme="minorHAnsi" w:cstheme="minorBidi"/>
                <w:lang w:bidi="ar-SA"/>
              </w:rPr>
              <w:t xml:space="preserve"> additional</w:t>
            </w:r>
            <w:r w:rsidR="00550E76" w:rsidRPr="00550E76">
              <w:rPr>
                <w:rFonts w:asciiTheme="minorHAnsi" w:eastAsiaTheme="minorHAnsi" w:hAnsiTheme="minorHAnsi" w:cstheme="minorBidi"/>
                <w:lang w:bidi="ar-SA"/>
              </w:rPr>
              <w:t xml:space="preserve"> information, read the various </w:t>
            </w:r>
            <w:r w:rsidR="00CE62A7">
              <w:rPr>
                <w:rFonts w:asciiTheme="minorHAnsi" w:eastAsiaTheme="minorHAnsi" w:hAnsiTheme="minorHAnsi" w:cstheme="minorBidi"/>
                <w:lang w:bidi="ar-SA"/>
              </w:rPr>
              <w:t>e</w:t>
            </w:r>
            <w:r w:rsidR="00550E76" w:rsidRPr="00550E76">
              <w:rPr>
                <w:rFonts w:asciiTheme="minorHAnsi" w:eastAsiaTheme="minorHAnsi" w:hAnsiTheme="minorHAnsi" w:cstheme="minorBidi"/>
                <w:lang w:bidi="ar-SA"/>
              </w:rPr>
              <w:t xml:space="preserve">vidence </w:t>
            </w:r>
            <w:r w:rsidR="00CE62A7">
              <w:rPr>
                <w:rFonts w:asciiTheme="minorHAnsi" w:eastAsiaTheme="minorHAnsi" w:hAnsiTheme="minorHAnsi" w:cstheme="minorBidi"/>
                <w:lang w:bidi="ar-SA"/>
              </w:rPr>
              <w:t>r</w:t>
            </w:r>
            <w:r w:rsidR="00550E76" w:rsidRPr="00550E76">
              <w:rPr>
                <w:rFonts w:asciiTheme="minorHAnsi" w:eastAsiaTheme="minorHAnsi" w:hAnsiTheme="minorHAnsi" w:cstheme="minorBidi"/>
                <w:lang w:bidi="ar-SA"/>
              </w:rPr>
              <w:t xml:space="preserve">eviews conducted </w:t>
            </w:r>
            <w:r>
              <w:rPr>
                <w:rFonts w:asciiTheme="minorHAnsi" w:eastAsiaTheme="minorHAnsi" w:hAnsiTheme="minorHAnsi" w:cstheme="minorBidi"/>
                <w:lang w:bidi="ar-SA"/>
              </w:rPr>
              <w:t>for</w:t>
            </w:r>
            <w:r w:rsidRPr="00550E76">
              <w:rPr>
                <w:rFonts w:asciiTheme="minorHAnsi" w:eastAsiaTheme="minorHAnsi" w:hAnsiTheme="minorHAnsi" w:cstheme="minorBidi"/>
                <w:lang w:bidi="ar-SA"/>
              </w:rPr>
              <w:t xml:space="preserve"> </w:t>
            </w:r>
            <w:r w:rsidR="00550E76" w:rsidRPr="00550E76">
              <w:rPr>
                <w:rFonts w:asciiTheme="minorHAnsi" w:eastAsiaTheme="minorHAnsi" w:hAnsiTheme="minorHAnsi" w:cstheme="minorBidi"/>
                <w:lang w:bidi="ar-SA"/>
              </w:rPr>
              <w:t xml:space="preserve">the </w:t>
            </w:r>
            <w:r w:rsidR="00CE62A7">
              <w:rPr>
                <w:rFonts w:asciiTheme="minorHAnsi" w:eastAsiaTheme="minorHAnsi" w:hAnsiTheme="minorHAnsi" w:cstheme="minorBidi"/>
                <w:lang w:bidi="ar-SA"/>
              </w:rPr>
              <w:t xml:space="preserve">AHRQ Safety Program for </w:t>
            </w:r>
            <w:r w:rsidR="00550E76" w:rsidRPr="00550E76">
              <w:rPr>
                <w:rFonts w:asciiTheme="minorHAnsi" w:eastAsiaTheme="minorHAnsi" w:hAnsiTheme="minorHAnsi" w:cstheme="minorBidi"/>
                <w:lang w:bidi="ar-SA"/>
              </w:rPr>
              <w:t>Improving Surgical and Recovery</w:t>
            </w:r>
            <w:r>
              <w:rPr>
                <w:rFonts w:asciiTheme="minorHAnsi" w:eastAsiaTheme="minorHAnsi" w:hAnsiTheme="minorHAnsi" w:cstheme="minorBidi"/>
                <w:lang w:bidi="ar-SA"/>
              </w:rPr>
              <w:t>,</w:t>
            </w:r>
            <w:r w:rsidR="00D913F9">
              <w:rPr>
                <w:rFonts w:asciiTheme="minorHAnsi" w:eastAsiaTheme="minorHAnsi" w:hAnsiTheme="minorHAnsi" w:cstheme="minorBidi"/>
                <w:lang w:bidi="ar-SA"/>
              </w:rPr>
              <w:t xml:space="preserve"> listed on the </w:t>
            </w:r>
            <w:r w:rsidR="00566AB5">
              <w:rPr>
                <w:rFonts w:asciiTheme="minorHAnsi" w:eastAsiaTheme="minorHAnsi" w:hAnsiTheme="minorHAnsi" w:cstheme="minorBidi"/>
                <w:lang w:bidi="ar-SA"/>
              </w:rPr>
              <w:t>reference</w:t>
            </w:r>
            <w:r w:rsidR="00D913F9">
              <w:rPr>
                <w:rFonts w:asciiTheme="minorHAnsi" w:eastAsiaTheme="minorHAnsi" w:hAnsiTheme="minorHAnsi" w:cstheme="minorBidi"/>
                <w:lang w:bidi="ar-SA"/>
              </w:rPr>
              <w:t xml:space="preserve"> slide,</w:t>
            </w:r>
            <w:r w:rsidR="00550E76" w:rsidRPr="00550E76">
              <w:rPr>
                <w:rFonts w:asciiTheme="minorHAnsi" w:eastAsiaTheme="minorHAnsi" w:hAnsiTheme="minorHAnsi" w:cstheme="minorBidi"/>
                <w:lang w:bidi="ar-SA"/>
              </w:rPr>
              <w:t xml:space="preserve"> and visit the</w:t>
            </w:r>
            <w:r w:rsidR="00CE62A7">
              <w:rPr>
                <w:rFonts w:asciiTheme="minorHAnsi" w:eastAsiaTheme="minorHAnsi" w:hAnsiTheme="minorHAnsi" w:cstheme="minorBidi"/>
                <w:lang w:bidi="ar-SA"/>
              </w:rPr>
              <w:t xml:space="preserve"> </w:t>
            </w:r>
            <w:hyperlink r:id="rId19" w:history="1">
              <w:r w:rsidR="00CE62A7" w:rsidRPr="007939BD">
                <w:rPr>
                  <w:rStyle w:val="Hyperlink"/>
                  <w:rFonts w:asciiTheme="minorHAnsi" w:eastAsiaTheme="minorHAnsi" w:hAnsiTheme="minorHAnsi" w:cstheme="minorBidi"/>
                  <w:lang w:bidi="ar-SA"/>
                </w:rPr>
                <w:t>toolkit</w:t>
              </w:r>
              <w:r w:rsidR="00550E76" w:rsidRPr="007939BD">
                <w:rPr>
                  <w:rStyle w:val="Hyperlink"/>
                  <w:rFonts w:asciiTheme="minorHAnsi" w:eastAsiaTheme="minorHAnsi" w:hAnsiTheme="minorHAnsi" w:cstheme="minorBidi"/>
                  <w:lang w:bidi="ar-SA"/>
                </w:rPr>
                <w:t xml:space="preserve"> website</w:t>
              </w:r>
            </w:hyperlink>
            <w:r w:rsidR="00CE62A7">
              <w:rPr>
                <w:rFonts w:asciiTheme="minorHAnsi" w:eastAsiaTheme="minorHAnsi" w:hAnsiTheme="minorHAnsi" w:cstheme="minorBidi"/>
                <w:lang w:bidi="ar-SA"/>
              </w:rPr>
              <w:t xml:space="preserve"> for more resources to help you implement </w:t>
            </w:r>
            <w:r w:rsidR="00113F49">
              <w:rPr>
                <w:rFonts w:asciiTheme="minorHAnsi" w:eastAsiaTheme="minorHAnsi" w:hAnsiTheme="minorHAnsi" w:cstheme="minorBidi"/>
                <w:lang w:bidi="ar-SA"/>
              </w:rPr>
              <w:t>your ISCR program.</w:t>
            </w:r>
            <w:r w:rsidR="00550E76" w:rsidRPr="00550E76">
              <w:rPr>
                <w:rFonts w:asciiTheme="minorHAnsi" w:eastAsiaTheme="minorHAnsi" w:hAnsiTheme="minorHAnsi" w:cstheme="minorBidi"/>
                <w:lang w:bidi="ar-SA"/>
              </w:rPr>
              <w:t xml:space="preserve"> </w:t>
            </w:r>
          </w:p>
        </w:tc>
        <w:tc>
          <w:tcPr>
            <w:tcW w:w="4590" w:type="dxa"/>
          </w:tcPr>
          <w:p w14:paraId="2C8C8B32" w14:textId="77777777" w:rsidR="00550E76" w:rsidRPr="00C31D41" w:rsidRDefault="00550E76" w:rsidP="00F14BBA">
            <w:pPr>
              <w:pStyle w:val="TableParagraph"/>
              <w:rPr>
                <w:b/>
              </w:rPr>
            </w:pPr>
            <w:r w:rsidRPr="00C31D41">
              <w:rPr>
                <w:b/>
              </w:rPr>
              <w:t xml:space="preserve">Slide </w:t>
            </w:r>
            <w:r w:rsidR="00463B84" w:rsidRPr="00C31D41">
              <w:rPr>
                <w:b/>
              </w:rPr>
              <w:t>9</w:t>
            </w:r>
          </w:p>
          <w:p w14:paraId="66BC7097" w14:textId="320397DC" w:rsidR="00C31D41" w:rsidRDefault="00106792" w:rsidP="00874295">
            <w:pPr>
              <w:pStyle w:val="TableParagraph"/>
              <w:spacing w:after="120" w:line="240" w:lineRule="auto"/>
            </w:pPr>
            <w:r>
              <w:rPr>
                <w:noProof/>
              </w:rPr>
              <w:drawing>
                <wp:inline distT="0" distB="0" distL="0" distR="0" wp14:anchorId="4EE5AD49" wp14:editId="1FA71447">
                  <wp:extent cx="2809983" cy="2095500"/>
                  <wp:effectExtent l="0" t="0" r="9525" b="0"/>
                  <wp:docPr id="4" name="Picture 4"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9"/>
                          <pic:cNvPicPr/>
                        </pic:nvPicPr>
                        <pic:blipFill>
                          <a:blip r:embed="rId20"/>
                          <a:stretch>
                            <a:fillRect/>
                          </a:stretch>
                        </pic:blipFill>
                        <pic:spPr>
                          <a:xfrm>
                            <a:off x="0" y="0"/>
                            <a:ext cx="2822614" cy="2104920"/>
                          </a:xfrm>
                          <a:prstGeom prst="rect">
                            <a:avLst/>
                          </a:prstGeom>
                        </pic:spPr>
                      </pic:pic>
                    </a:graphicData>
                  </a:graphic>
                </wp:inline>
              </w:drawing>
            </w:r>
          </w:p>
        </w:tc>
      </w:tr>
      <w:tr w:rsidR="00106792" w14:paraId="54E4A9D9" w14:textId="77777777" w:rsidTr="00C31D41">
        <w:trPr>
          <w:cantSplit/>
        </w:trPr>
        <w:tc>
          <w:tcPr>
            <w:tcW w:w="5575" w:type="dxa"/>
          </w:tcPr>
          <w:p w14:paraId="3FC3231C" w14:textId="41714ED5" w:rsidR="006F4C4B" w:rsidRDefault="006F4C4B" w:rsidP="006F4C4B">
            <w:pPr>
              <w:pStyle w:val="TableParagraph"/>
              <w:rPr>
                <w:b/>
              </w:rPr>
            </w:pPr>
            <w:r>
              <w:rPr>
                <w:b/>
              </w:rPr>
              <w:lastRenderedPageBreak/>
              <w:t>Thank You!</w:t>
            </w:r>
          </w:p>
          <w:p w14:paraId="31681816" w14:textId="77777777" w:rsidR="004F732C" w:rsidRDefault="004F732C" w:rsidP="004F732C">
            <w:pPr>
              <w:pStyle w:val="TableParagraph"/>
            </w:pPr>
            <w:r>
              <w:t>Thank you for your time today. Do you have any questions?</w:t>
            </w:r>
          </w:p>
          <w:p w14:paraId="64B93BE4" w14:textId="15B1EE81" w:rsidR="00C56896" w:rsidRPr="00C56896" w:rsidRDefault="004F732C" w:rsidP="006F4C4B">
            <w:pPr>
              <w:pStyle w:val="TableParagraph"/>
              <w:rPr>
                <w:b/>
              </w:rPr>
            </w:pPr>
            <w:r>
              <w:t>My information is listed on this slide if you have any follow-up questions about what I’ve shared. Please don’t hesitate to contact me by email or phone.</w:t>
            </w:r>
          </w:p>
        </w:tc>
        <w:tc>
          <w:tcPr>
            <w:tcW w:w="4590" w:type="dxa"/>
          </w:tcPr>
          <w:p w14:paraId="1A5AE178" w14:textId="77777777" w:rsidR="00C56896" w:rsidRPr="00C31D41" w:rsidRDefault="006F4C4B" w:rsidP="00F14BBA">
            <w:pPr>
              <w:pStyle w:val="TableParagraph"/>
              <w:rPr>
                <w:b/>
              </w:rPr>
            </w:pPr>
            <w:r w:rsidRPr="00C31D41">
              <w:rPr>
                <w:b/>
              </w:rPr>
              <w:t>Slide 10</w:t>
            </w:r>
          </w:p>
          <w:p w14:paraId="313B8EDE" w14:textId="674732D0" w:rsidR="00C31D41" w:rsidRDefault="00106792" w:rsidP="00874295">
            <w:pPr>
              <w:pStyle w:val="TableParagraph"/>
              <w:spacing w:after="120" w:line="240" w:lineRule="auto"/>
            </w:pPr>
            <w:r>
              <w:rPr>
                <w:noProof/>
              </w:rPr>
              <w:drawing>
                <wp:inline distT="0" distB="0" distL="0" distR="0" wp14:anchorId="31753A32" wp14:editId="21202064">
                  <wp:extent cx="2810477" cy="2114550"/>
                  <wp:effectExtent l="0" t="0" r="9525" b="0"/>
                  <wp:docPr id="2" name="Picture 2"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10"/>
                          <pic:cNvPicPr/>
                        </pic:nvPicPr>
                        <pic:blipFill>
                          <a:blip r:embed="rId21"/>
                          <a:stretch>
                            <a:fillRect/>
                          </a:stretch>
                        </pic:blipFill>
                        <pic:spPr>
                          <a:xfrm>
                            <a:off x="0" y="0"/>
                            <a:ext cx="2826706" cy="2126761"/>
                          </a:xfrm>
                          <a:prstGeom prst="rect">
                            <a:avLst/>
                          </a:prstGeom>
                        </pic:spPr>
                      </pic:pic>
                    </a:graphicData>
                  </a:graphic>
                </wp:inline>
              </w:drawing>
            </w:r>
          </w:p>
        </w:tc>
      </w:tr>
      <w:tr w:rsidR="00106792" w14:paraId="775F20A8" w14:textId="77777777" w:rsidTr="00C31D41">
        <w:trPr>
          <w:cantSplit/>
        </w:trPr>
        <w:tc>
          <w:tcPr>
            <w:tcW w:w="5575" w:type="dxa"/>
          </w:tcPr>
          <w:p w14:paraId="776587EC" w14:textId="251BA475" w:rsidR="004F732C" w:rsidRPr="004F732C" w:rsidRDefault="004F732C" w:rsidP="004F732C">
            <w:pPr>
              <w:pStyle w:val="TableParagraph"/>
              <w:rPr>
                <w:b/>
                <w:bCs/>
              </w:rPr>
            </w:pPr>
            <w:r w:rsidRPr="004F732C">
              <w:rPr>
                <w:b/>
                <w:bCs/>
              </w:rPr>
              <w:t>References</w:t>
            </w:r>
          </w:p>
          <w:p w14:paraId="0C990B88" w14:textId="3015D04F" w:rsidR="004F732C" w:rsidRPr="00106792" w:rsidRDefault="004F732C" w:rsidP="004F732C">
            <w:pPr>
              <w:pStyle w:val="TableParagraph"/>
            </w:pPr>
            <w:r w:rsidRPr="00106792">
              <w:rPr>
                <w:bCs/>
              </w:rPr>
              <w:t>References for this presentation are included on slide 11.</w:t>
            </w:r>
          </w:p>
        </w:tc>
        <w:tc>
          <w:tcPr>
            <w:tcW w:w="4590" w:type="dxa"/>
          </w:tcPr>
          <w:p w14:paraId="2DDF59D8" w14:textId="77777777" w:rsidR="004F732C" w:rsidRDefault="004F732C" w:rsidP="00F14BBA">
            <w:pPr>
              <w:pStyle w:val="TableParagraph"/>
              <w:rPr>
                <w:b/>
              </w:rPr>
            </w:pPr>
            <w:r>
              <w:rPr>
                <w:b/>
              </w:rPr>
              <w:t>Slide 11</w:t>
            </w:r>
          </w:p>
          <w:p w14:paraId="665C20B1" w14:textId="33128A69" w:rsidR="00106792" w:rsidRPr="00C31D41" w:rsidRDefault="00106792" w:rsidP="00874295">
            <w:pPr>
              <w:pStyle w:val="TableParagraph"/>
              <w:spacing w:after="120" w:line="240" w:lineRule="auto"/>
              <w:rPr>
                <w:b/>
              </w:rPr>
            </w:pPr>
            <w:r>
              <w:rPr>
                <w:noProof/>
              </w:rPr>
              <w:drawing>
                <wp:inline distT="0" distB="0" distL="0" distR="0" wp14:anchorId="6954A21A" wp14:editId="29BE6BD8">
                  <wp:extent cx="2830571" cy="2133600"/>
                  <wp:effectExtent l="0" t="0" r="8255" b="0"/>
                  <wp:docPr id="1" name="Picture 1"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1"/>
                          <pic:cNvPicPr/>
                        </pic:nvPicPr>
                        <pic:blipFill>
                          <a:blip r:embed="rId22"/>
                          <a:stretch>
                            <a:fillRect/>
                          </a:stretch>
                        </pic:blipFill>
                        <pic:spPr>
                          <a:xfrm>
                            <a:off x="0" y="0"/>
                            <a:ext cx="2850273" cy="2148450"/>
                          </a:xfrm>
                          <a:prstGeom prst="rect">
                            <a:avLst/>
                          </a:prstGeom>
                        </pic:spPr>
                      </pic:pic>
                    </a:graphicData>
                  </a:graphic>
                </wp:inline>
              </w:drawing>
            </w:r>
          </w:p>
        </w:tc>
      </w:tr>
    </w:tbl>
    <w:p w14:paraId="142017E7" w14:textId="5FDCE72B" w:rsidR="001B1787" w:rsidRDefault="005428E8" w:rsidP="005428E8">
      <w:pPr>
        <w:pStyle w:val="Footer"/>
        <w:spacing w:before="3840" w:after="0" w:line="240" w:lineRule="auto"/>
        <w:jc w:val="right"/>
        <w:rPr>
          <w:sz w:val="22"/>
          <w:szCs w:val="22"/>
        </w:rPr>
      </w:pPr>
      <w:r>
        <w:rPr>
          <w:sz w:val="22"/>
          <w:szCs w:val="22"/>
        </w:rPr>
        <w:t>AHRQ Pub. No. 23-0052</w:t>
      </w:r>
    </w:p>
    <w:p w14:paraId="389D3EA1" w14:textId="65600C1C" w:rsidR="005428E8" w:rsidRPr="005428E8" w:rsidRDefault="005428E8" w:rsidP="005428E8">
      <w:pPr>
        <w:pStyle w:val="Footer"/>
        <w:spacing w:after="0" w:line="240" w:lineRule="auto"/>
        <w:jc w:val="right"/>
        <w:rPr>
          <w:sz w:val="22"/>
          <w:szCs w:val="22"/>
        </w:rPr>
      </w:pPr>
      <w:r>
        <w:rPr>
          <w:sz w:val="22"/>
          <w:szCs w:val="22"/>
        </w:rPr>
        <w:t>June 2023</w:t>
      </w:r>
    </w:p>
    <w:sectPr w:rsidR="005428E8" w:rsidRPr="005428E8" w:rsidSect="000D32A8">
      <w:footerReference w:type="even" r:id="rId23"/>
      <w:footerReference w:type="default" r:id="rId24"/>
      <w:headerReference w:type="first" r:id="rId25"/>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13D39" w14:textId="77777777" w:rsidR="00D33456" w:rsidRDefault="00D33456" w:rsidP="00CC236D">
      <w:r>
        <w:separator/>
      </w:r>
    </w:p>
  </w:endnote>
  <w:endnote w:type="continuationSeparator" w:id="0">
    <w:p w14:paraId="35ABDD20" w14:textId="77777777" w:rsidR="00D33456" w:rsidRDefault="00D33456" w:rsidP="00CC236D">
      <w:r>
        <w:continuationSeparator/>
      </w:r>
    </w:p>
  </w:endnote>
  <w:endnote w:type="continuationNotice" w:id="1">
    <w:p w14:paraId="7827BC83" w14:textId="77777777" w:rsidR="00D33456" w:rsidRDefault="00D33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7899938"/>
      <w:docPartObj>
        <w:docPartGallery w:val="Page Numbers (Bottom of Page)"/>
        <w:docPartUnique/>
      </w:docPartObj>
    </w:sdtPr>
    <w:sdtEndPr>
      <w:rPr>
        <w:rStyle w:val="PageNumber"/>
      </w:rPr>
    </w:sdtEndPr>
    <w:sdtContent>
      <w:p w14:paraId="536F8B21" w14:textId="77777777" w:rsidR="003441F5" w:rsidRDefault="003441F5" w:rsidP="007220F9">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394461" w14:textId="77777777" w:rsidR="003441F5" w:rsidRDefault="003441F5" w:rsidP="003441F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3EBB" w14:textId="1B4CF118" w:rsidR="00CC236D" w:rsidRDefault="00AF3052" w:rsidP="003441F5">
    <w:pPr>
      <w:ind w:right="360"/>
    </w:pPr>
    <w:r w:rsidRPr="003441F5">
      <w:rPr>
        <w:noProof/>
      </w:rPr>
      <mc:AlternateContent>
        <mc:Choice Requires="wps">
          <w:drawing>
            <wp:anchor distT="0" distB="0" distL="114300" distR="114300" simplePos="0" relativeHeight="251658243" behindDoc="0" locked="0" layoutInCell="1" allowOverlap="1" wp14:anchorId="0EBD0F4E" wp14:editId="370C8CFF">
              <wp:simplePos x="0" y="0"/>
              <wp:positionH relativeFrom="column">
                <wp:posOffset>4843732</wp:posOffset>
              </wp:positionH>
              <wp:positionV relativeFrom="page">
                <wp:posOffset>9765102</wp:posOffset>
              </wp:positionV>
              <wp:extent cx="2004779" cy="258744"/>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4779" cy="258744"/>
                      </a:xfrm>
                      <a:prstGeom prst="rect">
                        <a:avLst/>
                      </a:prstGeom>
                      <a:noFill/>
                      <a:ln w="6350">
                        <a:noFill/>
                      </a:ln>
                    </wps:spPr>
                    <wps:txbx>
                      <w:txbxContent>
                        <w:p w14:paraId="5C3C7666" w14:textId="32797BAE" w:rsidR="007301F2" w:rsidRPr="00AA150A" w:rsidRDefault="00AF3052" w:rsidP="00AF3052">
                          <w:pPr>
                            <w:pStyle w:val="documentfootertitle"/>
                            <w:rPr>
                              <w:sz w:val="20"/>
                              <w:szCs w:val="20"/>
                            </w:rPr>
                          </w:pPr>
                          <w:r w:rsidRPr="00AA150A">
                            <w:rPr>
                              <w:sz w:val="20"/>
                              <w:szCs w:val="20"/>
                            </w:rPr>
                            <w:t xml:space="preserve">Regional Analgesia for </w:t>
                          </w:r>
                          <w:r w:rsidR="00C56896">
                            <w:rPr>
                              <w:sz w:val="20"/>
                              <w:szCs w:val="20"/>
                            </w:rPr>
                            <w:t>THA/TKA</w:t>
                          </w:r>
                          <w:r w:rsidR="00FC07D2" w:rsidRPr="00AA150A">
                            <w:rPr>
                              <w:sz w:val="20"/>
                              <w:szCs w:val="20"/>
                            </w:rPr>
                            <w:t xml:space="preserve">  </w:t>
                          </w:r>
                          <w:r w:rsidR="00FC07D2" w:rsidRPr="00AA150A">
                            <w:rPr>
                              <w:sz w:val="20"/>
                              <w:szCs w:val="20"/>
                            </w:rPr>
                            <w:fldChar w:fldCharType="begin"/>
                          </w:r>
                          <w:r w:rsidR="00FC07D2" w:rsidRPr="00AA150A">
                            <w:rPr>
                              <w:sz w:val="20"/>
                              <w:szCs w:val="20"/>
                            </w:rPr>
                            <w:instrText xml:space="preserve"> PAGE   \* MERGEFORMAT </w:instrText>
                          </w:r>
                          <w:r w:rsidR="00FC07D2" w:rsidRPr="00AA150A">
                            <w:rPr>
                              <w:sz w:val="20"/>
                              <w:szCs w:val="20"/>
                            </w:rPr>
                            <w:fldChar w:fldCharType="separate"/>
                          </w:r>
                          <w:r w:rsidR="00FC07D2" w:rsidRPr="00AA150A">
                            <w:rPr>
                              <w:sz w:val="20"/>
                              <w:szCs w:val="20"/>
                            </w:rPr>
                            <w:t>1</w:t>
                          </w:r>
                          <w:r w:rsidR="00FC07D2" w:rsidRPr="00AA150A">
                            <w:rPr>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D0F4E" id="_x0000_t202" coordsize="21600,21600" o:spt="202" path="m,l,21600r21600,l21600,xe">
              <v:stroke joinstyle="miter"/>
              <v:path gradientshapeok="t" o:connecttype="rect"/>
            </v:shapetype>
            <v:shape id="Text Box 5" o:spid="_x0000_s1028" type="#_x0000_t202" style="position:absolute;margin-left:381.4pt;margin-top:768.9pt;width:157.85pt;height:2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" filled="f" stroked="f" strokeweight=".5pt">
              <v:textbox>
                <w:txbxContent>
                  <w:p w14:paraId="5C3C7666" w14:textId="32797BAE" w:rsidR="007301F2" w:rsidRPr="00AA150A" w:rsidRDefault="00AF3052" w:rsidP="00AF3052">
                    <w:pPr>
                      <w:pStyle w:val="documentfootertitle"/>
                      <w:rPr>
                        <w:sz w:val="20"/>
                        <w:szCs w:val="20"/>
                      </w:rPr>
                    </w:pPr>
                    <w:r w:rsidRPr="00AA150A">
                      <w:rPr>
                        <w:sz w:val="20"/>
                        <w:szCs w:val="20"/>
                      </w:rPr>
                      <w:t xml:space="preserve">Regional Analgesia for </w:t>
                    </w:r>
                    <w:r w:rsidR="00C56896">
                      <w:rPr>
                        <w:sz w:val="20"/>
                        <w:szCs w:val="20"/>
                      </w:rPr>
                      <w:t>THA/TKA</w:t>
                    </w:r>
                    <w:r w:rsidR="00FC07D2" w:rsidRPr="00AA150A">
                      <w:rPr>
                        <w:sz w:val="20"/>
                        <w:szCs w:val="20"/>
                      </w:rPr>
                      <w:t xml:space="preserve">  </w:t>
                    </w:r>
                    <w:r w:rsidR="00FC07D2" w:rsidRPr="00AA150A">
                      <w:rPr>
                        <w:sz w:val="20"/>
                        <w:szCs w:val="20"/>
                      </w:rPr>
                      <w:fldChar w:fldCharType="begin"/>
                    </w:r>
                    <w:r w:rsidR="00FC07D2" w:rsidRPr="00AA150A">
                      <w:rPr>
                        <w:sz w:val="20"/>
                        <w:szCs w:val="20"/>
                      </w:rPr>
                      <w:instrText xml:space="preserve"> PAGE   \* MERGEFORMAT </w:instrText>
                    </w:r>
                    <w:r w:rsidR="00FC07D2" w:rsidRPr="00AA150A">
                      <w:rPr>
                        <w:sz w:val="20"/>
                        <w:szCs w:val="20"/>
                      </w:rPr>
                      <w:fldChar w:fldCharType="separate"/>
                    </w:r>
                    <w:r w:rsidR="00FC07D2" w:rsidRPr="00AA150A">
                      <w:rPr>
                        <w:sz w:val="20"/>
                        <w:szCs w:val="20"/>
                      </w:rPr>
                      <w:t>1</w:t>
                    </w:r>
                    <w:r w:rsidR="00FC07D2" w:rsidRPr="00AA150A">
                      <w:rPr>
                        <w:sz w:val="20"/>
                        <w:szCs w:val="20"/>
                      </w:rPr>
                      <w:fldChar w:fldCharType="end"/>
                    </w:r>
                  </w:p>
                </w:txbxContent>
              </v:textbox>
              <w10:wrap anchory="page"/>
            </v:shape>
          </w:pict>
        </mc:Fallback>
      </mc:AlternateContent>
    </w:r>
    <w:r>
      <w:rPr>
        <w:noProof/>
      </w:rPr>
      <w:drawing>
        <wp:anchor distT="0" distB="0" distL="114300" distR="114300" simplePos="0" relativeHeight="251658241" behindDoc="1" locked="0" layoutInCell="1" allowOverlap="1" wp14:anchorId="686BE4AC" wp14:editId="287E02E2">
          <wp:simplePos x="0" y="0"/>
          <wp:positionH relativeFrom="column">
            <wp:posOffset>4082415</wp:posOffset>
          </wp:positionH>
          <wp:positionV relativeFrom="page">
            <wp:posOffset>9296400</wp:posOffset>
          </wp:positionV>
          <wp:extent cx="2762250" cy="74295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2250" cy="742950"/>
                  </a:xfrm>
                  <a:prstGeom prst="rect">
                    <a:avLst/>
                  </a:prstGeom>
                </pic:spPr>
              </pic:pic>
            </a:graphicData>
          </a:graphic>
          <wp14:sizeRelH relativeFrom="page">
            <wp14:pctWidth>0</wp14:pctWidth>
          </wp14:sizeRelH>
          <wp14:sizeRelV relativeFrom="page">
            <wp14:pctHeight>0</wp14:pctHeight>
          </wp14:sizeRelV>
        </wp:anchor>
      </w:drawing>
    </w:r>
    <w:r>
      <w:t>AHRQ Safety Program for Improving Surgical Care and Recovery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DE946" w14:textId="77777777" w:rsidR="00D33456" w:rsidRDefault="00D33456" w:rsidP="00CC236D">
      <w:r>
        <w:separator/>
      </w:r>
    </w:p>
  </w:footnote>
  <w:footnote w:type="continuationSeparator" w:id="0">
    <w:p w14:paraId="7E52AC4A" w14:textId="77777777" w:rsidR="00D33456" w:rsidRDefault="00D33456" w:rsidP="00CC236D">
      <w:r>
        <w:continuationSeparator/>
      </w:r>
    </w:p>
  </w:footnote>
  <w:footnote w:type="continuationNotice" w:id="1">
    <w:p w14:paraId="1078F7AE" w14:textId="77777777" w:rsidR="00D33456" w:rsidRDefault="00D33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D580C" w14:textId="7D3A7E74" w:rsidR="00CC236D" w:rsidRDefault="00622680" w:rsidP="00AF3052">
    <w:pPr>
      <w:tabs>
        <w:tab w:val="center" w:pos="4680"/>
      </w:tabs>
    </w:pPr>
    <w:r w:rsidRPr="00622680">
      <w:rPr>
        <w:noProof/>
      </w:rPr>
      <w:drawing>
        <wp:anchor distT="0" distB="0" distL="114300" distR="114300" simplePos="0" relativeHeight="251659267" behindDoc="1" locked="0" layoutInCell="1" allowOverlap="1" wp14:anchorId="78B10EDC" wp14:editId="3B93F493">
          <wp:simplePos x="0" y="0"/>
          <wp:positionH relativeFrom="page">
            <wp:align>left</wp:align>
          </wp:positionH>
          <wp:positionV relativeFrom="page">
            <wp:align>top</wp:align>
          </wp:positionV>
          <wp:extent cx="7772400" cy="10058400"/>
          <wp:effectExtent l="0" t="0" r="0" b="0"/>
          <wp:wrapNone/>
          <wp:docPr id="20" name="Picture 2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AF30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7891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E8E7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2807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E03F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7AD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36A4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6C91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2EEE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95EEB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661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33D65"/>
    <w:multiLevelType w:val="hybridMultilevel"/>
    <w:tmpl w:val="C3FAF016"/>
    <w:lvl w:ilvl="0" w:tplc="2BB65C2E">
      <w:start w:val="1"/>
      <w:numFmt w:val="bullet"/>
      <w:pStyle w:val="Bullet1"/>
      <w:lvlText w:val=""/>
      <w:lvlJc w:val="left"/>
      <w:pPr>
        <w:ind w:left="720" w:hanging="360"/>
      </w:pPr>
      <w:rPr>
        <w:rFonts w:ascii="Symbol" w:hAnsi="Symbol" w:hint="default"/>
      </w:rPr>
    </w:lvl>
    <w:lvl w:ilvl="1" w:tplc="2FF66048">
      <w:start w:val="1"/>
      <w:numFmt w:val="bullet"/>
      <w:pStyle w:val="bullet2"/>
      <w:lvlText w:val="o"/>
      <w:lvlJc w:val="left"/>
      <w:pPr>
        <w:ind w:left="1440" w:hanging="360"/>
      </w:pPr>
      <w:rPr>
        <w:rFonts w:ascii="Courier New" w:hAnsi="Courier New" w:cs="Courier New" w:hint="default"/>
      </w:rPr>
    </w:lvl>
    <w:lvl w:ilvl="2" w:tplc="756E84C0">
      <w:start w:val="1"/>
      <w:numFmt w:val="bullet"/>
      <w:pStyle w:val="Bullet3"/>
      <w:lvlText w:val=""/>
      <w:lvlJc w:val="left"/>
      <w:pPr>
        <w:ind w:left="2160" w:hanging="360"/>
      </w:pPr>
      <w:rPr>
        <w:rFonts w:ascii="Wingdings" w:hAnsi="Wingdings" w:hint="default"/>
      </w:rPr>
    </w:lvl>
    <w:lvl w:ilvl="3" w:tplc="777C7586">
      <w:start w:val="1"/>
      <w:numFmt w:val="bullet"/>
      <w:pStyle w:val="Bullet4"/>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9878707">
    <w:abstractNumId w:val="10"/>
  </w:num>
  <w:num w:numId="2" w16cid:durableId="1358967667">
    <w:abstractNumId w:val="0"/>
  </w:num>
  <w:num w:numId="3" w16cid:durableId="687677121">
    <w:abstractNumId w:val="1"/>
  </w:num>
  <w:num w:numId="4" w16cid:durableId="93477667">
    <w:abstractNumId w:val="2"/>
  </w:num>
  <w:num w:numId="5" w16cid:durableId="2140953284">
    <w:abstractNumId w:val="3"/>
  </w:num>
  <w:num w:numId="6" w16cid:durableId="1104182850">
    <w:abstractNumId w:val="8"/>
  </w:num>
  <w:num w:numId="7" w16cid:durableId="1556618380">
    <w:abstractNumId w:val="4"/>
  </w:num>
  <w:num w:numId="8" w16cid:durableId="1693998022">
    <w:abstractNumId w:val="5"/>
  </w:num>
  <w:num w:numId="9" w16cid:durableId="2082365140">
    <w:abstractNumId w:val="6"/>
  </w:num>
  <w:num w:numId="10" w16cid:durableId="316232580">
    <w:abstractNumId w:val="7"/>
  </w:num>
  <w:num w:numId="11" w16cid:durableId="1127353917">
    <w:abstractNumId w:val="9"/>
  </w:num>
  <w:num w:numId="12" w16cid:durableId="1933393907">
    <w:abstractNumId w:val="10"/>
  </w:num>
  <w:num w:numId="13" w16cid:durableId="1804232480">
    <w:abstractNumId w:val="10"/>
  </w:num>
  <w:num w:numId="14" w16cid:durableId="1453597759">
    <w:abstractNumId w:val="10"/>
  </w:num>
  <w:num w:numId="15" w16cid:durableId="258610982">
    <w:abstractNumId w:val="10"/>
  </w:num>
  <w:num w:numId="16" w16cid:durableId="2093618175">
    <w:abstractNumId w:val="10"/>
  </w:num>
  <w:num w:numId="17" w16cid:durableId="1441535982">
    <w:abstractNumId w:val="10"/>
  </w:num>
  <w:num w:numId="18" w16cid:durableId="1149247600">
    <w:abstractNumId w:val="10"/>
  </w:num>
  <w:num w:numId="19" w16cid:durableId="1411076358">
    <w:abstractNumId w:val="10"/>
  </w:num>
  <w:num w:numId="20" w16cid:durableId="1847935393">
    <w:abstractNumId w:val="10"/>
  </w:num>
  <w:num w:numId="21" w16cid:durableId="913976027">
    <w:abstractNumId w:val="10"/>
  </w:num>
  <w:num w:numId="22" w16cid:durableId="1646854585">
    <w:abstractNumId w:val="10"/>
  </w:num>
  <w:num w:numId="23" w16cid:durableId="1891767986">
    <w:abstractNumId w:val="10"/>
  </w:num>
  <w:num w:numId="24" w16cid:durableId="184370878">
    <w:abstractNumId w:val="10"/>
  </w:num>
  <w:num w:numId="25" w16cid:durableId="902327431">
    <w:abstractNumId w:val="10"/>
  </w:num>
  <w:num w:numId="26" w16cid:durableId="1612054788">
    <w:abstractNumId w:val="10"/>
  </w:num>
  <w:num w:numId="27" w16cid:durableId="4827403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FBD"/>
    <w:rsid w:val="0000511F"/>
    <w:rsid w:val="00005293"/>
    <w:rsid w:val="00015BAC"/>
    <w:rsid w:val="00026CC6"/>
    <w:rsid w:val="00033728"/>
    <w:rsid w:val="00036913"/>
    <w:rsid w:val="00041C3F"/>
    <w:rsid w:val="00047168"/>
    <w:rsid w:val="00072180"/>
    <w:rsid w:val="00092184"/>
    <w:rsid w:val="000B770F"/>
    <w:rsid w:val="000C7276"/>
    <w:rsid w:val="000D32A8"/>
    <w:rsid w:val="000F60B9"/>
    <w:rsid w:val="000F7649"/>
    <w:rsid w:val="00106792"/>
    <w:rsid w:val="00113F49"/>
    <w:rsid w:val="00140190"/>
    <w:rsid w:val="001449D9"/>
    <w:rsid w:val="00146FDA"/>
    <w:rsid w:val="001574BF"/>
    <w:rsid w:val="00167615"/>
    <w:rsid w:val="001B07DD"/>
    <w:rsid w:val="001B1787"/>
    <w:rsid w:val="001D1BAE"/>
    <w:rsid w:val="001E6B7F"/>
    <w:rsid w:val="001F2578"/>
    <w:rsid w:val="0021378B"/>
    <w:rsid w:val="002654D8"/>
    <w:rsid w:val="002672CD"/>
    <w:rsid w:val="002822CA"/>
    <w:rsid w:val="002833BE"/>
    <w:rsid w:val="00286AAF"/>
    <w:rsid w:val="002A1A1D"/>
    <w:rsid w:val="002C2776"/>
    <w:rsid w:val="002D70F5"/>
    <w:rsid w:val="002E0910"/>
    <w:rsid w:val="002E6FBD"/>
    <w:rsid w:val="002F1711"/>
    <w:rsid w:val="002F3670"/>
    <w:rsid w:val="0034134C"/>
    <w:rsid w:val="003441F5"/>
    <w:rsid w:val="0037758E"/>
    <w:rsid w:val="00380198"/>
    <w:rsid w:val="00385201"/>
    <w:rsid w:val="003E6C01"/>
    <w:rsid w:val="003F41E2"/>
    <w:rsid w:val="0040039A"/>
    <w:rsid w:val="00414AC0"/>
    <w:rsid w:val="00417C09"/>
    <w:rsid w:val="004301D3"/>
    <w:rsid w:val="00461B7F"/>
    <w:rsid w:val="00463B2C"/>
    <w:rsid w:val="00463B84"/>
    <w:rsid w:val="00470042"/>
    <w:rsid w:val="004702B6"/>
    <w:rsid w:val="004747F7"/>
    <w:rsid w:val="00485696"/>
    <w:rsid w:val="00491016"/>
    <w:rsid w:val="004A2DCF"/>
    <w:rsid w:val="004A36E1"/>
    <w:rsid w:val="004B6602"/>
    <w:rsid w:val="004C04FD"/>
    <w:rsid w:val="004C5DF4"/>
    <w:rsid w:val="004D2B7B"/>
    <w:rsid w:val="004D5C5D"/>
    <w:rsid w:val="004E2CBD"/>
    <w:rsid w:val="004F5E29"/>
    <w:rsid w:val="004F732C"/>
    <w:rsid w:val="0050210A"/>
    <w:rsid w:val="00505C1E"/>
    <w:rsid w:val="00507BE1"/>
    <w:rsid w:val="00510609"/>
    <w:rsid w:val="00511A64"/>
    <w:rsid w:val="00522111"/>
    <w:rsid w:val="005329BA"/>
    <w:rsid w:val="005405E1"/>
    <w:rsid w:val="005428E8"/>
    <w:rsid w:val="00550E76"/>
    <w:rsid w:val="0055659A"/>
    <w:rsid w:val="00566AB5"/>
    <w:rsid w:val="00566DA3"/>
    <w:rsid w:val="00595250"/>
    <w:rsid w:val="005D1E02"/>
    <w:rsid w:val="005E6FCE"/>
    <w:rsid w:val="0061663C"/>
    <w:rsid w:val="006216F7"/>
    <w:rsid w:val="00622680"/>
    <w:rsid w:val="0062733C"/>
    <w:rsid w:val="00630A49"/>
    <w:rsid w:val="00630EA3"/>
    <w:rsid w:val="00644428"/>
    <w:rsid w:val="006519D8"/>
    <w:rsid w:val="006609AD"/>
    <w:rsid w:val="0067587E"/>
    <w:rsid w:val="0068281D"/>
    <w:rsid w:val="00694C92"/>
    <w:rsid w:val="006A4C3F"/>
    <w:rsid w:val="006D1F8A"/>
    <w:rsid w:val="006D3488"/>
    <w:rsid w:val="006D5C06"/>
    <w:rsid w:val="006D77E3"/>
    <w:rsid w:val="006E5264"/>
    <w:rsid w:val="006F04C5"/>
    <w:rsid w:val="006F4C4B"/>
    <w:rsid w:val="006F5AC8"/>
    <w:rsid w:val="00714E3F"/>
    <w:rsid w:val="007220F9"/>
    <w:rsid w:val="007301F2"/>
    <w:rsid w:val="00746644"/>
    <w:rsid w:val="0077131E"/>
    <w:rsid w:val="00774B22"/>
    <w:rsid w:val="007932DD"/>
    <w:rsid w:val="007939BD"/>
    <w:rsid w:val="007C7766"/>
    <w:rsid w:val="007D27EA"/>
    <w:rsid w:val="007D5A86"/>
    <w:rsid w:val="007F067F"/>
    <w:rsid w:val="0080743B"/>
    <w:rsid w:val="00821C93"/>
    <w:rsid w:val="00836181"/>
    <w:rsid w:val="00840BDE"/>
    <w:rsid w:val="0085433A"/>
    <w:rsid w:val="00872AF7"/>
    <w:rsid w:val="00874295"/>
    <w:rsid w:val="00874463"/>
    <w:rsid w:val="008A279E"/>
    <w:rsid w:val="008A7CD1"/>
    <w:rsid w:val="008C00B6"/>
    <w:rsid w:val="008C2967"/>
    <w:rsid w:val="008C7CA8"/>
    <w:rsid w:val="008C7D87"/>
    <w:rsid w:val="008D652C"/>
    <w:rsid w:val="008E5CAD"/>
    <w:rsid w:val="008E7F47"/>
    <w:rsid w:val="008F5C02"/>
    <w:rsid w:val="00910CF8"/>
    <w:rsid w:val="0093549F"/>
    <w:rsid w:val="0093669F"/>
    <w:rsid w:val="00951FA0"/>
    <w:rsid w:val="009526F0"/>
    <w:rsid w:val="00976B21"/>
    <w:rsid w:val="00981AFE"/>
    <w:rsid w:val="009A50A3"/>
    <w:rsid w:val="009C329B"/>
    <w:rsid w:val="009C68B4"/>
    <w:rsid w:val="00A17FAB"/>
    <w:rsid w:val="00A2687C"/>
    <w:rsid w:val="00A36F2A"/>
    <w:rsid w:val="00A54E6E"/>
    <w:rsid w:val="00A606EA"/>
    <w:rsid w:val="00A74DEB"/>
    <w:rsid w:val="00A9641C"/>
    <w:rsid w:val="00AA150A"/>
    <w:rsid w:val="00AA68BF"/>
    <w:rsid w:val="00AB0F20"/>
    <w:rsid w:val="00AC2097"/>
    <w:rsid w:val="00AD26DC"/>
    <w:rsid w:val="00AD4027"/>
    <w:rsid w:val="00AD56D7"/>
    <w:rsid w:val="00AD6565"/>
    <w:rsid w:val="00AF3052"/>
    <w:rsid w:val="00B1268A"/>
    <w:rsid w:val="00B46034"/>
    <w:rsid w:val="00B52552"/>
    <w:rsid w:val="00B55404"/>
    <w:rsid w:val="00B62589"/>
    <w:rsid w:val="00B8336D"/>
    <w:rsid w:val="00B8374A"/>
    <w:rsid w:val="00B84AC3"/>
    <w:rsid w:val="00B93488"/>
    <w:rsid w:val="00BA5C18"/>
    <w:rsid w:val="00BA5EA6"/>
    <w:rsid w:val="00BB7B5E"/>
    <w:rsid w:val="00BC2661"/>
    <w:rsid w:val="00BD03D5"/>
    <w:rsid w:val="00BE1428"/>
    <w:rsid w:val="00BE14E3"/>
    <w:rsid w:val="00BF4BF2"/>
    <w:rsid w:val="00BF7314"/>
    <w:rsid w:val="00C04996"/>
    <w:rsid w:val="00C1079B"/>
    <w:rsid w:val="00C31D41"/>
    <w:rsid w:val="00C41B8A"/>
    <w:rsid w:val="00C45A34"/>
    <w:rsid w:val="00C56896"/>
    <w:rsid w:val="00C57E17"/>
    <w:rsid w:val="00C7269D"/>
    <w:rsid w:val="00C752F0"/>
    <w:rsid w:val="00C77CC0"/>
    <w:rsid w:val="00C83189"/>
    <w:rsid w:val="00C91559"/>
    <w:rsid w:val="00CA08AF"/>
    <w:rsid w:val="00CB76AA"/>
    <w:rsid w:val="00CC236D"/>
    <w:rsid w:val="00CC5C68"/>
    <w:rsid w:val="00CE62A7"/>
    <w:rsid w:val="00D0574D"/>
    <w:rsid w:val="00D065C0"/>
    <w:rsid w:val="00D33456"/>
    <w:rsid w:val="00D4424D"/>
    <w:rsid w:val="00D623F1"/>
    <w:rsid w:val="00D73C1B"/>
    <w:rsid w:val="00D81114"/>
    <w:rsid w:val="00D87F88"/>
    <w:rsid w:val="00D913F9"/>
    <w:rsid w:val="00D93320"/>
    <w:rsid w:val="00DA5D05"/>
    <w:rsid w:val="00DB286B"/>
    <w:rsid w:val="00DB5787"/>
    <w:rsid w:val="00DC13E4"/>
    <w:rsid w:val="00DD0BF4"/>
    <w:rsid w:val="00DD0E79"/>
    <w:rsid w:val="00DD4BBB"/>
    <w:rsid w:val="00DE369A"/>
    <w:rsid w:val="00DE5C0A"/>
    <w:rsid w:val="00DE5FD7"/>
    <w:rsid w:val="00E23FB8"/>
    <w:rsid w:val="00E2789A"/>
    <w:rsid w:val="00E4331D"/>
    <w:rsid w:val="00E77A0A"/>
    <w:rsid w:val="00E80AF4"/>
    <w:rsid w:val="00E873BD"/>
    <w:rsid w:val="00E91E89"/>
    <w:rsid w:val="00E92E88"/>
    <w:rsid w:val="00EB78ED"/>
    <w:rsid w:val="00F14BBA"/>
    <w:rsid w:val="00F45DF4"/>
    <w:rsid w:val="00F549EA"/>
    <w:rsid w:val="00F56361"/>
    <w:rsid w:val="00F64AC8"/>
    <w:rsid w:val="00F939B5"/>
    <w:rsid w:val="00F96634"/>
    <w:rsid w:val="00FB1019"/>
    <w:rsid w:val="00FC07D2"/>
    <w:rsid w:val="00FF6C3E"/>
    <w:rsid w:val="00FF7938"/>
    <w:rsid w:val="0E8F331B"/>
    <w:rsid w:val="48ECC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3E756"/>
  <w14:defaultImageDpi w14:val="32767"/>
  <w15:chartTrackingRefBased/>
  <w15:docId w15:val="{9592B6A5-4BE6-48D4-AC92-3F0EDF1F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702B6"/>
  </w:style>
  <w:style w:type="paragraph" w:styleId="Heading1">
    <w:name w:val="heading 1"/>
    <w:basedOn w:val="Normal"/>
    <w:next w:val="Normal"/>
    <w:link w:val="Heading1Char"/>
    <w:uiPriority w:val="9"/>
    <w:rsid w:val="002654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Section3Title"/>
    <w:link w:val="Heading2Char"/>
    <w:autoRedefine/>
    <w:qFormat/>
    <w:rsid w:val="008C00B6"/>
    <w:pPr>
      <w:spacing w:after="0" w:line="240" w:lineRule="auto"/>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otertitle">
    <w:name w:val="document footer title"/>
    <w:qFormat/>
    <w:rsid w:val="002F1711"/>
    <w:pPr>
      <w:jc w:val="right"/>
    </w:pPr>
    <w:rPr>
      <w:color w:val="000000" w:themeColor="text1"/>
      <w:sz w:val="18"/>
      <w:szCs w:val="18"/>
    </w:rPr>
  </w:style>
  <w:style w:type="table" w:styleId="TableGrid">
    <w:name w:val="Table Grid"/>
    <w:basedOn w:val="TableNormal"/>
    <w:uiPriority w:val="39"/>
    <w:rsid w:val="002F1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textcallout">
    <w:name w:val="Red text callout"/>
    <w:basedOn w:val="BodyText1"/>
    <w:qFormat/>
    <w:rsid w:val="002F1711"/>
    <w:rPr>
      <w:color w:val="C00000"/>
    </w:rPr>
  </w:style>
  <w:style w:type="paragraph" w:styleId="Header">
    <w:name w:val="header"/>
    <w:basedOn w:val="Normal"/>
    <w:link w:val="HeaderChar"/>
    <w:uiPriority w:val="99"/>
    <w:unhideWhenUsed/>
    <w:rsid w:val="002F1711"/>
    <w:pPr>
      <w:tabs>
        <w:tab w:val="center" w:pos="4680"/>
        <w:tab w:val="right" w:pos="9360"/>
      </w:tabs>
    </w:pPr>
  </w:style>
  <w:style w:type="character" w:styleId="PageNumber">
    <w:name w:val="page number"/>
    <w:basedOn w:val="DefaultParagraphFont"/>
    <w:uiPriority w:val="99"/>
    <w:semiHidden/>
    <w:unhideWhenUsed/>
    <w:rsid w:val="003441F5"/>
  </w:style>
  <w:style w:type="paragraph" w:customStyle="1" w:styleId="Headertitle">
    <w:name w:val="Header title"/>
    <w:autoRedefine/>
    <w:qFormat/>
    <w:rsid w:val="002E6FBD"/>
    <w:pPr>
      <w:spacing w:after="0" w:line="240" w:lineRule="auto"/>
      <w:contextualSpacing/>
      <w:jc w:val="center"/>
    </w:pPr>
    <w:rPr>
      <w:sz w:val="56"/>
      <w:szCs w:val="72"/>
    </w:rPr>
  </w:style>
  <w:style w:type="paragraph" w:customStyle="1" w:styleId="Section1title">
    <w:name w:val="Section 1 title"/>
    <w:basedOn w:val="Normal"/>
    <w:qFormat/>
    <w:rsid w:val="002F1711"/>
    <w:rPr>
      <w:b/>
      <w:bCs/>
      <w:sz w:val="32"/>
      <w:szCs w:val="32"/>
    </w:rPr>
  </w:style>
  <w:style w:type="paragraph" w:customStyle="1" w:styleId="bullet2">
    <w:name w:val="bullet 2"/>
    <w:basedOn w:val="Bullet1"/>
    <w:qFormat/>
    <w:rsid w:val="002F1711"/>
    <w:pPr>
      <w:numPr>
        <w:ilvl w:val="1"/>
      </w:numPr>
    </w:pPr>
  </w:style>
  <w:style w:type="character" w:customStyle="1" w:styleId="HeaderChar">
    <w:name w:val="Header Char"/>
    <w:basedOn w:val="DefaultParagraphFont"/>
    <w:link w:val="Header"/>
    <w:uiPriority w:val="99"/>
    <w:rsid w:val="002F1711"/>
  </w:style>
  <w:style w:type="paragraph" w:customStyle="1" w:styleId="Bullet1">
    <w:name w:val="Bullet 1"/>
    <w:basedOn w:val="BodyText"/>
    <w:qFormat/>
    <w:rsid w:val="002F1711"/>
    <w:pPr>
      <w:numPr>
        <w:numId w:val="27"/>
      </w:numPr>
    </w:pPr>
  </w:style>
  <w:style w:type="paragraph" w:customStyle="1" w:styleId="BodyText1">
    <w:name w:val="Body Text1"/>
    <w:qFormat/>
    <w:rsid w:val="002F1711"/>
  </w:style>
  <w:style w:type="paragraph" w:styleId="BodyText">
    <w:name w:val="Body Text"/>
    <w:basedOn w:val="Normal"/>
    <w:link w:val="BodyTextChar"/>
    <w:uiPriority w:val="99"/>
    <w:unhideWhenUsed/>
    <w:rsid w:val="002F1711"/>
    <w:pPr>
      <w:spacing w:after="120"/>
    </w:pPr>
  </w:style>
  <w:style w:type="character" w:customStyle="1" w:styleId="BodyTextChar">
    <w:name w:val="Body Text Char"/>
    <w:basedOn w:val="DefaultParagraphFont"/>
    <w:link w:val="BodyText"/>
    <w:uiPriority w:val="99"/>
    <w:rsid w:val="002F1711"/>
  </w:style>
  <w:style w:type="paragraph" w:customStyle="1" w:styleId="Bullet3">
    <w:name w:val="Bullet 3"/>
    <w:basedOn w:val="Bullet1"/>
    <w:qFormat/>
    <w:rsid w:val="002F1711"/>
    <w:pPr>
      <w:numPr>
        <w:ilvl w:val="2"/>
      </w:numPr>
    </w:pPr>
  </w:style>
  <w:style w:type="paragraph" w:customStyle="1" w:styleId="Bullet4">
    <w:name w:val="Bullet 4"/>
    <w:basedOn w:val="Bullet1"/>
    <w:qFormat/>
    <w:rsid w:val="002F1711"/>
    <w:pPr>
      <w:numPr>
        <w:ilvl w:val="3"/>
      </w:numPr>
    </w:pPr>
  </w:style>
  <w:style w:type="paragraph" w:customStyle="1" w:styleId="Reference">
    <w:name w:val="Reference"/>
    <w:qFormat/>
    <w:rsid w:val="002F1711"/>
    <w:rPr>
      <w:i/>
      <w:iCs/>
      <w:sz w:val="20"/>
      <w:szCs w:val="20"/>
    </w:rPr>
  </w:style>
  <w:style w:type="paragraph" w:customStyle="1" w:styleId="Section2Title">
    <w:name w:val="Section 2 Title"/>
    <w:qFormat/>
    <w:rsid w:val="002F1711"/>
    <w:rPr>
      <w:b/>
      <w:bCs/>
      <w:sz w:val="28"/>
      <w:szCs w:val="28"/>
    </w:rPr>
  </w:style>
  <w:style w:type="paragraph" w:customStyle="1" w:styleId="Section3Title">
    <w:name w:val="Section 3 Title"/>
    <w:qFormat/>
    <w:rsid w:val="002F1711"/>
    <w:rPr>
      <w:i/>
      <w:iCs/>
    </w:rPr>
  </w:style>
  <w:style w:type="character" w:customStyle="1" w:styleId="Heading1Char">
    <w:name w:val="Heading 1 Char"/>
    <w:basedOn w:val="DefaultParagraphFont"/>
    <w:link w:val="Heading1"/>
    <w:uiPriority w:val="9"/>
    <w:rsid w:val="002654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8C00B6"/>
    <w:rPr>
      <w:b/>
      <w:bCs/>
      <w:sz w:val="28"/>
      <w:szCs w:val="28"/>
    </w:rPr>
  </w:style>
  <w:style w:type="paragraph" w:styleId="Footer">
    <w:name w:val="footer"/>
    <w:basedOn w:val="Normal"/>
    <w:link w:val="FooterChar"/>
    <w:uiPriority w:val="99"/>
    <w:unhideWhenUsed/>
    <w:rsid w:val="002F1711"/>
    <w:pPr>
      <w:tabs>
        <w:tab w:val="center" w:pos="4680"/>
        <w:tab w:val="right" w:pos="9360"/>
      </w:tabs>
    </w:pPr>
    <w:rPr>
      <w:sz w:val="18"/>
      <w:szCs w:val="18"/>
    </w:rPr>
  </w:style>
  <w:style w:type="character" w:customStyle="1" w:styleId="FooterChar">
    <w:name w:val="Footer Char"/>
    <w:basedOn w:val="DefaultParagraphFont"/>
    <w:link w:val="Footer"/>
    <w:uiPriority w:val="99"/>
    <w:rsid w:val="002F1711"/>
    <w:rPr>
      <w:sz w:val="18"/>
      <w:szCs w:val="18"/>
    </w:rPr>
  </w:style>
  <w:style w:type="paragraph" w:styleId="Title">
    <w:name w:val="Title"/>
    <w:aliases w:val="Toolkit Title"/>
    <w:basedOn w:val="Normal"/>
    <w:link w:val="TitleChar"/>
    <w:autoRedefine/>
    <w:qFormat/>
    <w:rsid w:val="000D32A8"/>
    <w:pPr>
      <w:keepNext/>
      <w:keepLines/>
      <w:pBdr>
        <w:bottom w:val="single" w:sz="4" w:space="1" w:color="5B9BD5"/>
      </w:pBdr>
      <w:spacing w:before="240" w:after="240"/>
      <w:contextualSpacing/>
      <w:outlineLvl w:val="0"/>
    </w:pPr>
    <w:rPr>
      <w:rFonts w:ascii="Calibri" w:eastAsia="MS Gothic" w:hAnsi="Calibri" w:cstheme="majorBidi"/>
      <w:bCs/>
      <w:kern w:val="28"/>
      <w:sz w:val="40"/>
      <w:szCs w:val="32"/>
    </w:rPr>
  </w:style>
  <w:style w:type="character" w:customStyle="1" w:styleId="TitleChar">
    <w:name w:val="Title Char"/>
    <w:aliases w:val="Toolkit Title Char"/>
    <w:basedOn w:val="DefaultParagraphFont"/>
    <w:link w:val="Title"/>
    <w:rsid w:val="000D32A8"/>
    <w:rPr>
      <w:rFonts w:ascii="Calibri" w:eastAsia="MS Gothic" w:hAnsi="Calibri" w:cstheme="majorBidi"/>
      <w:bCs/>
      <w:kern w:val="28"/>
      <w:sz w:val="40"/>
      <w:szCs w:val="32"/>
    </w:rPr>
  </w:style>
  <w:style w:type="paragraph" w:styleId="Subtitle">
    <w:name w:val="Subtitle"/>
    <w:basedOn w:val="Normal"/>
    <w:next w:val="Normal"/>
    <w:link w:val="SubtitleChar"/>
    <w:uiPriority w:val="11"/>
    <w:rsid w:val="002F171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711"/>
    <w:rPr>
      <w:rFonts w:eastAsiaTheme="minorEastAsia"/>
      <w:color w:val="5A5A5A" w:themeColor="text1" w:themeTint="A5"/>
      <w:spacing w:val="15"/>
      <w:sz w:val="22"/>
      <w:szCs w:val="22"/>
    </w:rPr>
  </w:style>
  <w:style w:type="paragraph" w:customStyle="1" w:styleId="TableParagraph">
    <w:name w:val="Table Paragraph"/>
    <w:basedOn w:val="Normal"/>
    <w:uiPriority w:val="1"/>
    <w:qFormat/>
    <w:rsid w:val="002F1711"/>
    <w:pPr>
      <w:widowControl w:val="0"/>
      <w:autoSpaceDE w:val="0"/>
      <w:autoSpaceDN w:val="0"/>
    </w:pPr>
    <w:rPr>
      <w:rFonts w:ascii="Calibri" w:eastAsia="Calibri" w:hAnsi="Calibri" w:cs="Calibri"/>
      <w:lang w:bidi="en-US"/>
    </w:rPr>
  </w:style>
  <w:style w:type="character" w:styleId="Hyperlink">
    <w:name w:val="Hyperlink"/>
    <w:basedOn w:val="DefaultParagraphFont"/>
    <w:uiPriority w:val="99"/>
    <w:unhideWhenUsed/>
    <w:rsid w:val="002F1711"/>
    <w:rPr>
      <w:color w:val="0563C1" w:themeColor="hyperlink"/>
      <w:u w:val="single"/>
    </w:rPr>
  </w:style>
  <w:style w:type="paragraph" w:styleId="ListParagraph">
    <w:name w:val="List Paragraph"/>
    <w:basedOn w:val="Normal"/>
    <w:uiPriority w:val="34"/>
    <w:rsid w:val="002F1711"/>
    <w:pPr>
      <w:ind w:left="720"/>
      <w:contextualSpacing/>
    </w:pPr>
  </w:style>
  <w:style w:type="character" w:styleId="Emphasis">
    <w:name w:val="Emphasis"/>
    <w:basedOn w:val="DefaultParagraphFont"/>
    <w:uiPriority w:val="20"/>
    <w:rsid w:val="002F1711"/>
    <w:rPr>
      <w:i/>
      <w:iCs/>
    </w:rPr>
  </w:style>
  <w:style w:type="character" w:styleId="CommentReference">
    <w:name w:val="annotation reference"/>
    <w:basedOn w:val="DefaultParagraphFont"/>
    <w:uiPriority w:val="99"/>
    <w:semiHidden/>
    <w:unhideWhenUsed/>
    <w:rsid w:val="006D5C06"/>
    <w:rPr>
      <w:sz w:val="16"/>
      <w:szCs w:val="16"/>
    </w:rPr>
  </w:style>
  <w:style w:type="paragraph" w:styleId="CommentText">
    <w:name w:val="annotation text"/>
    <w:basedOn w:val="Normal"/>
    <w:link w:val="CommentTextChar"/>
    <w:uiPriority w:val="99"/>
    <w:semiHidden/>
    <w:unhideWhenUsed/>
    <w:rsid w:val="006D5C06"/>
    <w:pPr>
      <w:spacing w:line="240" w:lineRule="auto"/>
    </w:pPr>
    <w:rPr>
      <w:sz w:val="20"/>
      <w:szCs w:val="20"/>
    </w:rPr>
  </w:style>
  <w:style w:type="character" w:customStyle="1" w:styleId="CommentTextChar">
    <w:name w:val="Comment Text Char"/>
    <w:basedOn w:val="DefaultParagraphFont"/>
    <w:link w:val="CommentText"/>
    <w:uiPriority w:val="99"/>
    <w:semiHidden/>
    <w:rsid w:val="006D5C06"/>
    <w:rPr>
      <w:sz w:val="20"/>
      <w:szCs w:val="20"/>
    </w:rPr>
  </w:style>
  <w:style w:type="paragraph" w:styleId="CommentSubject">
    <w:name w:val="annotation subject"/>
    <w:basedOn w:val="CommentText"/>
    <w:next w:val="CommentText"/>
    <w:link w:val="CommentSubjectChar"/>
    <w:uiPriority w:val="99"/>
    <w:semiHidden/>
    <w:unhideWhenUsed/>
    <w:rsid w:val="006D5C06"/>
    <w:rPr>
      <w:b/>
      <w:bCs/>
    </w:rPr>
  </w:style>
  <w:style w:type="character" w:customStyle="1" w:styleId="CommentSubjectChar">
    <w:name w:val="Comment Subject Char"/>
    <w:basedOn w:val="CommentTextChar"/>
    <w:link w:val="CommentSubject"/>
    <w:uiPriority w:val="99"/>
    <w:semiHidden/>
    <w:rsid w:val="006D5C06"/>
    <w:rPr>
      <w:b/>
      <w:bCs/>
      <w:sz w:val="20"/>
      <w:szCs w:val="20"/>
    </w:rPr>
  </w:style>
  <w:style w:type="paragraph" w:styleId="NormalWeb">
    <w:name w:val="Normal (Web)"/>
    <w:basedOn w:val="Normal"/>
    <w:uiPriority w:val="99"/>
    <w:semiHidden/>
    <w:unhideWhenUsed/>
    <w:rsid w:val="005E6F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5E6FCE"/>
    <w:rPr>
      <w:rFonts w:ascii="Segoe UI" w:hAnsi="Segoe UI" w:cs="Segoe UI" w:hint="default"/>
      <w:sz w:val="18"/>
      <w:szCs w:val="18"/>
    </w:rPr>
  </w:style>
  <w:style w:type="paragraph" w:styleId="BalloonText">
    <w:name w:val="Balloon Text"/>
    <w:basedOn w:val="Normal"/>
    <w:link w:val="BalloonTextChar"/>
    <w:uiPriority w:val="99"/>
    <w:semiHidden/>
    <w:unhideWhenUsed/>
    <w:rsid w:val="00CC5C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C68"/>
    <w:rPr>
      <w:rFonts w:ascii="Segoe UI" w:hAnsi="Segoe UI" w:cs="Segoe UI"/>
      <w:sz w:val="18"/>
      <w:szCs w:val="18"/>
    </w:rPr>
  </w:style>
  <w:style w:type="paragraph" w:styleId="Revision">
    <w:name w:val="Revision"/>
    <w:hidden/>
    <w:uiPriority w:val="99"/>
    <w:semiHidden/>
    <w:rsid w:val="00463B84"/>
    <w:pPr>
      <w:spacing w:after="0" w:line="240" w:lineRule="auto"/>
    </w:pPr>
  </w:style>
  <w:style w:type="character" w:styleId="UnresolvedMention">
    <w:name w:val="Unresolved Mention"/>
    <w:basedOn w:val="DefaultParagraphFont"/>
    <w:uiPriority w:val="99"/>
    <w:semiHidden/>
    <w:unhideWhenUsed/>
    <w:rsid w:val="00793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248570">
      <w:bodyDiv w:val="1"/>
      <w:marLeft w:val="0"/>
      <w:marRight w:val="0"/>
      <w:marTop w:val="0"/>
      <w:marBottom w:val="0"/>
      <w:divBdr>
        <w:top w:val="none" w:sz="0" w:space="0" w:color="auto"/>
        <w:left w:val="none" w:sz="0" w:space="0" w:color="auto"/>
        <w:bottom w:val="none" w:sz="0" w:space="0" w:color="auto"/>
        <w:right w:val="none" w:sz="0" w:space="0" w:color="auto"/>
      </w:divBdr>
    </w:div>
    <w:div w:id="708919643">
      <w:bodyDiv w:val="1"/>
      <w:marLeft w:val="0"/>
      <w:marRight w:val="0"/>
      <w:marTop w:val="0"/>
      <w:marBottom w:val="0"/>
      <w:divBdr>
        <w:top w:val="none" w:sz="0" w:space="0" w:color="auto"/>
        <w:left w:val="none" w:sz="0" w:space="0" w:color="auto"/>
        <w:bottom w:val="none" w:sz="0" w:space="0" w:color="auto"/>
        <w:right w:val="none" w:sz="0" w:space="0" w:color="auto"/>
      </w:divBdr>
    </w:div>
    <w:div w:id="1260985498">
      <w:bodyDiv w:val="1"/>
      <w:marLeft w:val="0"/>
      <w:marRight w:val="0"/>
      <w:marTop w:val="0"/>
      <w:marBottom w:val="0"/>
      <w:divBdr>
        <w:top w:val="none" w:sz="0" w:space="0" w:color="auto"/>
        <w:left w:val="none" w:sz="0" w:space="0" w:color="auto"/>
        <w:bottom w:val="none" w:sz="0" w:space="0" w:color="auto"/>
        <w:right w:val="none" w:sz="0" w:space="0" w:color="auto"/>
      </w:divBdr>
    </w:div>
    <w:div w:id="1959141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hrq.gov/hai/tools/enhanced-recovery/index.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irley1\Johns%20Hopkins\Michael%20Rosen%20-%20AHRQ%20ISCR%20Program\AHRQ%20ISCR%20Toolkit\ISC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6CC0FC43363F4486EF125B20F142DD" ma:contentTypeVersion="13" ma:contentTypeDescription="Create a new document." ma:contentTypeScope="" ma:versionID="76376da4425270c5e8de56d6a1491260">
  <xsd:schema xmlns:xsd="http://www.w3.org/2001/XMLSchema" xmlns:xs="http://www.w3.org/2001/XMLSchema" xmlns:p="http://schemas.microsoft.com/office/2006/metadata/properties" xmlns:ns3="049c2de0-4c44-4bec-aa11-008a15ef5db0" xmlns:ns4="0ca66267-29c9-4f79-ad07-5fdfcb821135" targetNamespace="http://schemas.microsoft.com/office/2006/metadata/properties" ma:root="true" ma:fieldsID="e57926fedf8de957e34099befb03a631" ns3:_="" ns4:_="">
    <xsd:import namespace="049c2de0-4c44-4bec-aa11-008a15ef5db0"/>
    <xsd:import namespace="0ca66267-29c9-4f79-ad07-5fdfcb8211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2de0-4c44-4bec-aa11-008a15ef5d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a66267-29c9-4f79-ad07-5fdfcb8211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B49547-1880-45DD-83DA-31DB61866BC0}">
  <ds:schemaRefs>
    <ds:schemaRef ds:uri="http://schemas.openxmlformats.org/officeDocument/2006/bibliography"/>
  </ds:schemaRefs>
</ds:datastoreItem>
</file>

<file path=customXml/itemProps2.xml><?xml version="1.0" encoding="utf-8"?>
<ds:datastoreItem xmlns:ds="http://schemas.openxmlformats.org/officeDocument/2006/customXml" ds:itemID="{13D7C502-6ABA-4643-93DD-C78E783159B1}">
  <ds:schemaRefs>
    <ds:schemaRef ds:uri="http://schemas.microsoft.com/sharepoint/v3/contenttype/forms"/>
  </ds:schemaRefs>
</ds:datastoreItem>
</file>

<file path=customXml/itemProps3.xml><?xml version="1.0" encoding="utf-8"?>
<ds:datastoreItem xmlns:ds="http://schemas.openxmlformats.org/officeDocument/2006/customXml" ds:itemID="{612A3120-E172-44B5-9BF6-15F636D3E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2de0-4c44-4bec-aa11-008a15ef5db0"/>
    <ds:schemaRef ds:uri="0ca66267-29c9-4f79-ad07-5fdfcb821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24B443-1B0E-41FA-9C30-F0EAECB3D6DF}">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0ca66267-29c9-4f79-ad07-5fdfcb821135"/>
    <ds:schemaRef ds:uri="049c2de0-4c44-4bec-aa11-008a15ef5db0"/>
  </ds:schemaRefs>
</ds:datastoreItem>
</file>

<file path=docProps/app.xml><?xml version="1.0" encoding="utf-8"?>
<Properties xmlns="http://schemas.openxmlformats.org/officeDocument/2006/extended-properties" xmlns:vt="http://schemas.openxmlformats.org/officeDocument/2006/docPropsVTypes">
  <Template>ISCR Template</Template>
  <TotalTime>40</TotalTime>
  <Pages>6</Pages>
  <Words>1072</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Kirley</dc:creator>
  <cp:keywords/>
  <dc:description/>
  <cp:lastModifiedBy>Heidenrich, Christine (AHRQ/OC) (CTR)</cp:lastModifiedBy>
  <cp:revision>12</cp:revision>
  <dcterms:created xsi:type="dcterms:W3CDTF">2022-12-13T20:17:00Z</dcterms:created>
  <dcterms:modified xsi:type="dcterms:W3CDTF">2023-06-02T18:01:00Z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0x010100D96CC0FC43363F4486EF125B20F142DD</vt:lpwstr>
  </property>
</Properties>
</file>