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78" w:type="dxa"/>
        <w:tblLook w:val="04A0" w:firstRow="1" w:lastRow="0" w:firstColumn="1" w:lastColumn="0" w:noHBand="0" w:noVBand="1"/>
      </w:tblPr>
      <w:tblGrid>
        <w:gridCol w:w="5868"/>
        <w:gridCol w:w="4410"/>
      </w:tblGrid>
      <w:tr w:rsidR="004577E8" w:rsidRPr="00AD4681" w14:paraId="6AC0951A" w14:textId="77777777" w:rsidTr="004577E8">
        <w:tc>
          <w:tcPr>
            <w:tcW w:w="5868" w:type="dxa"/>
            <w:shd w:val="clear" w:color="auto" w:fill="DAEEF3" w:themeFill="accent5" w:themeFillTint="33"/>
            <w:vAlign w:val="bottom"/>
          </w:tcPr>
          <w:p w14:paraId="76A5C5CA" w14:textId="77777777" w:rsidR="004577E8" w:rsidRPr="00AD4681" w:rsidRDefault="004577E8" w:rsidP="004577E8">
            <w:pPr>
              <w:pStyle w:val="TableTitles"/>
              <w:rPr>
                <w:rFonts w:cs="Arial"/>
              </w:rPr>
            </w:pPr>
            <w:bookmarkStart w:id="0" w:name="_GoBack"/>
            <w:bookmarkEnd w:id="0"/>
            <w:r w:rsidRPr="00AD4681">
              <w:t>Slide Title and Commentary</w:t>
            </w:r>
          </w:p>
        </w:tc>
        <w:tc>
          <w:tcPr>
            <w:tcW w:w="4410" w:type="dxa"/>
            <w:shd w:val="clear" w:color="auto" w:fill="DAEEF3" w:themeFill="accent5" w:themeFillTint="33"/>
            <w:vAlign w:val="bottom"/>
          </w:tcPr>
          <w:p w14:paraId="50A1D04A" w14:textId="77777777" w:rsidR="004577E8" w:rsidRPr="00AD4681" w:rsidRDefault="004577E8" w:rsidP="004577E8">
            <w:pPr>
              <w:pStyle w:val="TableTitles"/>
            </w:pPr>
            <w:r w:rsidRPr="00AD4681">
              <w:t>Slide Number and Slide</w:t>
            </w:r>
          </w:p>
        </w:tc>
      </w:tr>
      <w:tr w:rsidR="004577E8" w:rsidRPr="00AD4681" w14:paraId="483C6609" w14:textId="77777777" w:rsidTr="004577E8">
        <w:tc>
          <w:tcPr>
            <w:tcW w:w="5868" w:type="dxa"/>
          </w:tcPr>
          <w:p w14:paraId="7924E7B3" w14:textId="77777777" w:rsidR="004577E8" w:rsidRPr="00AD4681" w:rsidRDefault="004577E8" w:rsidP="004577E8">
            <w:pPr>
              <w:pStyle w:val="SlideTitle"/>
            </w:pPr>
            <w:r w:rsidRPr="00AD4681">
              <w:t>Title Slide</w:t>
            </w:r>
          </w:p>
          <w:p w14:paraId="17D9B564" w14:textId="28EC33EC" w:rsidR="004577E8" w:rsidRPr="00AD4681" w:rsidRDefault="00F3232E" w:rsidP="004577E8">
            <w:pPr>
              <w:pStyle w:val="SlideTitle"/>
            </w:pPr>
            <w:r>
              <w:t>Benefits of Subglottic</w:t>
            </w:r>
            <w:r w:rsidR="00D4269A">
              <w:t xml:space="preserve"> Secretion Drainage</w:t>
            </w:r>
            <w:r>
              <w:t xml:space="preserve"> Endotracheal Tubes</w:t>
            </w:r>
          </w:p>
          <w:p w14:paraId="16107E72" w14:textId="77777777" w:rsidR="004577E8" w:rsidRPr="00AD4681" w:rsidRDefault="004577E8" w:rsidP="00283168">
            <w:pPr>
              <w:pStyle w:val="Instructions"/>
              <w:framePr w:wrap="around"/>
            </w:pPr>
            <w:r w:rsidRPr="00AD4681">
              <w:t>SAY:</w:t>
            </w:r>
          </w:p>
          <w:p w14:paraId="4F5F7C29" w14:textId="30BE63AD" w:rsidR="007E382F" w:rsidRPr="00396AF7" w:rsidRDefault="007E382F" w:rsidP="007E382F">
            <w:pPr>
              <w:spacing w:line="300" w:lineRule="exact"/>
              <w:rPr>
                <w:szCs w:val="24"/>
              </w:rPr>
            </w:pPr>
            <w:r w:rsidRPr="00396AF7">
              <w:rPr>
                <w:szCs w:val="24"/>
              </w:rPr>
              <w:t>In this module, you will learn about the benefits of subglottic secretion drainage endotracheal tubes</w:t>
            </w:r>
            <w:r w:rsidR="00B10614">
              <w:rPr>
                <w:szCs w:val="24"/>
              </w:rPr>
              <w:t xml:space="preserve">, or </w:t>
            </w:r>
            <w:r w:rsidRPr="00396AF7">
              <w:rPr>
                <w:szCs w:val="24"/>
              </w:rPr>
              <w:t xml:space="preserve">SSD-ETT.  </w:t>
            </w:r>
          </w:p>
          <w:p w14:paraId="11CF88F9" w14:textId="3A184017" w:rsidR="004577E8" w:rsidRPr="004577E8" w:rsidRDefault="004577E8" w:rsidP="004577E8"/>
        </w:tc>
        <w:tc>
          <w:tcPr>
            <w:tcW w:w="4410" w:type="dxa"/>
          </w:tcPr>
          <w:p w14:paraId="61C67CB7" w14:textId="77777777" w:rsidR="004577E8" w:rsidRPr="00AD4681" w:rsidRDefault="004577E8" w:rsidP="004577E8">
            <w:pPr>
              <w:pStyle w:val="TableTitles"/>
            </w:pPr>
            <w:r w:rsidRPr="00AD4681">
              <w:t>Slide 1</w:t>
            </w:r>
          </w:p>
          <w:p w14:paraId="16AB6488" w14:textId="7C249865" w:rsidR="004577E8" w:rsidRPr="00AD4681" w:rsidRDefault="00020E76" w:rsidP="004577E8">
            <w:r>
              <w:rPr>
                <w:noProof/>
              </w:rPr>
              <w:drawing>
                <wp:inline distT="0" distB="0" distL="0" distR="0" wp14:anchorId="22F75760" wp14:editId="1A451B3E">
                  <wp:extent cx="2603500" cy="195262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 1.jpg"/>
                          <pic:cNvPicPr/>
                        </pic:nvPicPr>
                        <pic:blipFill>
                          <a:blip r:embed="rId9">
                            <a:extLst>
                              <a:ext uri="{28A0092B-C50C-407E-A947-70E740481C1C}">
                                <a14:useLocalDpi xmlns:a14="http://schemas.microsoft.com/office/drawing/2010/main" val="0"/>
                              </a:ext>
                            </a:extLst>
                          </a:blip>
                          <a:stretch>
                            <a:fillRect/>
                          </a:stretch>
                        </pic:blipFill>
                        <pic:spPr>
                          <a:xfrm>
                            <a:off x="0" y="0"/>
                            <a:ext cx="2606503" cy="1954877"/>
                          </a:xfrm>
                          <a:prstGeom prst="rect">
                            <a:avLst/>
                          </a:prstGeom>
                        </pic:spPr>
                      </pic:pic>
                    </a:graphicData>
                  </a:graphic>
                </wp:inline>
              </w:drawing>
            </w:r>
          </w:p>
        </w:tc>
      </w:tr>
      <w:tr w:rsidR="004577E8" w:rsidRPr="00AD4681" w14:paraId="335A2F31" w14:textId="77777777" w:rsidTr="004577E8">
        <w:tc>
          <w:tcPr>
            <w:tcW w:w="5868" w:type="dxa"/>
          </w:tcPr>
          <w:p w14:paraId="50233CB0" w14:textId="77777777" w:rsidR="004577E8" w:rsidRPr="00AD4681" w:rsidRDefault="004577E8" w:rsidP="004577E8">
            <w:pPr>
              <w:pStyle w:val="SlideTitle"/>
            </w:pPr>
            <w:r w:rsidRPr="00AD4681">
              <w:t>Learning Objectives</w:t>
            </w:r>
          </w:p>
          <w:p w14:paraId="72DC0879" w14:textId="77777777" w:rsidR="004577E8" w:rsidRPr="00AD4681" w:rsidRDefault="004577E8" w:rsidP="00283168">
            <w:pPr>
              <w:pStyle w:val="Instructions"/>
              <w:framePr w:wrap="around"/>
            </w:pPr>
            <w:r w:rsidRPr="00283168">
              <w:t>SAY</w:t>
            </w:r>
            <w:r w:rsidRPr="00AD4681">
              <w:t>:</w:t>
            </w:r>
          </w:p>
          <w:p w14:paraId="045FCC69" w14:textId="333BA8F7" w:rsidR="004577E8" w:rsidRPr="00AD4681" w:rsidRDefault="00C94B70" w:rsidP="00B10614">
            <w:r>
              <w:t xml:space="preserve">After this session, you will be able to explain the benefits of </w:t>
            </w:r>
            <w:r w:rsidR="00B10614">
              <w:t>SDD-ETT</w:t>
            </w:r>
            <w:r>
              <w:t xml:space="preserve"> as well as access evidence and resources supporting the switch to SSD-ETT.</w:t>
            </w:r>
          </w:p>
        </w:tc>
        <w:tc>
          <w:tcPr>
            <w:tcW w:w="4410" w:type="dxa"/>
          </w:tcPr>
          <w:p w14:paraId="6A317A29" w14:textId="77777777" w:rsidR="004577E8" w:rsidRPr="00AD4681" w:rsidRDefault="004577E8" w:rsidP="004577E8">
            <w:pPr>
              <w:pStyle w:val="TableTitles"/>
            </w:pPr>
            <w:r w:rsidRPr="00AD4681">
              <w:t>Slide 2</w:t>
            </w:r>
          </w:p>
          <w:p w14:paraId="07286292" w14:textId="17311C7F" w:rsidR="004577E8" w:rsidRPr="00AD4681" w:rsidRDefault="00C94B70" w:rsidP="004577E8">
            <w:r w:rsidRPr="00C94B70">
              <w:rPr>
                <w:noProof/>
              </w:rPr>
              <w:drawing>
                <wp:inline distT="0" distB="0" distL="0" distR="0" wp14:anchorId="521EF540" wp14:editId="58793E53">
                  <wp:extent cx="2551176" cy="1911096"/>
                  <wp:effectExtent l="19050" t="19050" r="2095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bl>
    <w:p w14:paraId="1F38A71E" w14:textId="2D3EF754" w:rsidR="004577E8" w:rsidRDefault="004577E8" w:rsidP="004577E8"/>
    <w:p w14:paraId="63A323B6" w14:textId="273B549B" w:rsidR="004577E8" w:rsidRDefault="004577E8" w:rsidP="004577E8"/>
    <w:p w14:paraId="2A29918E" w14:textId="00E9F14B" w:rsidR="004577E8" w:rsidRDefault="004577E8" w:rsidP="004577E8"/>
    <w:p w14:paraId="29DA861E" w14:textId="0B4CEE04" w:rsidR="00EA6D3D" w:rsidRPr="004577E8" w:rsidRDefault="00F238D6" w:rsidP="004577E8">
      <w:pPr>
        <w:sectPr w:rsidR="00EA6D3D" w:rsidRPr="004577E8" w:rsidSect="007D13A4">
          <w:headerReference w:type="even" r:id="rId11"/>
          <w:headerReference w:type="default" r:id="rId12"/>
          <w:footerReference w:type="even" r:id="rId13"/>
          <w:footerReference w:type="default" r:id="rId14"/>
          <w:pgSz w:w="12240" w:h="15840"/>
          <w:pgMar w:top="2520" w:right="1440" w:bottom="1296" w:left="1440" w:header="360" w:footer="1008" w:gutter="0"/>
          <w:cols w:space="720"/>
          <w:docGrid w:linePitch="360"/>
        </w:sectPr>
      </w:pPr>
      <w:r>
        <w:rPr>
          <w:noProof/>
        </w:rPr>
        <mc:AlternateContent>
          <mc:Choice Requires="wps">
            <w:drawing>
              <wp:anchor distT="0" distB="0" distL="114300" distR="114300" simplePos="0" relativeHeight="251659264" behindDoc="0" locked="0" layoutInCell="1" allowOverlap="1" wp14:anchorId="2153B6CB" wp14:editId="2B345982">
                <wp:simplePos x="0" y="0"/>
                <wp:positionH relativeFrom="column">
                  <wp:posOffset>4199890</wp:posOffset>
                </wp:positionH>
                <wp:positionV relativeFrom="paragraph">
                  <wp:posOffset>443865</wp:posOffset>
                </wp:positionV>
                <wp:extent cx="2286000" cy="459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D29914" w14:textId="15DB7B24" w:rsidR="00F238D6" w:rsidRPr="00020E76" w:rsidRDefault="00F238D6" w:rsidP="00F238D6">
                            <w:pPr>
                              <w:pStyle w:val="Footer"/>
                              <w:jc w:val="right"/>
                              <w:rPr>
                                <w:rStyle w:val="Emphasis"/>
                                <w:sz w:val="20"/>
                                <w:szCs w:val="20"/>
                              </w:rPr>
                            </w:pPr>
                            <w:r w:rsidRPr="00020E76">
                              <w:rPr>
                                <w:rStyle w:val="Emphasis"/>
                                <w:sz w:val="20"/>
                                <w:szCs w:val="20"/>
                              </w:rPr>
                              <w:t>AHRQ Pub. No. 16</w:t>
                            </w:r>
                            <w:r w:rsidR="00020E76">
                              <w:rPr>
                                <w:rStyle w:val="Emphasis"/>
                                <w:sz w:val="20"/>
                                <w:szCs w:val="20"/>
                              </w:rPr>
                              <w:t>(17)</w:t>
                            </w:r>
                            <w:r w:rsidRPr="00020E76">
                              <w:rPr>
                                <w:rStyle w:val="Emphasis"/>
                                <w:sz w:val="20"/>
                                <w:szCs w:val="20"/>
                              </w:rPr>
                              <w:t>-0018-45-EF</w:t>
                            </w:r>
                          </w:p>
                          <w:p w14:paraId="27474F50" w14:textId="15397328" w:rsidR="00F238D6" w:rsidRPr="00020E76" w:rsidRDefault="00020E76" w:rsidP="00F238D6">
                            <w:pPr>
                              <w:pStyle w:val="Footer"/>
                              <w:jc w:val="right"/>
                              <w:rPr>
                                <w:rStyle w:val="Emphasis"/>
                                <w:sz w:val="20"/>
                                <w:szCs w:val="20"/>
                              </w:rPr>
                            </w:pPr>
                            <w:r>
                              <w:rPr>
                                <w:rStyle w:val="Emphasis"/>
                                <w:sz w:val="20"/>
                                <w:szCs w:val="20"/>
                              </w:rPr>
                              <w:t>January</w:t>
                            </w:r>
                            <w:r w:rsidR="00F238D6" w:rsidRPr="00020E76">
                              <w:rPr>
                                <w:rStyle w:val="Emphasis"/>
                                <w:sz w:val="20"/>
                                <w:szCs w:val="20"/>
                              </w:rPr>
                              <w:t xml:space="preserve"> </w:t>
                            </w:r>
                            <w:r>
                              <w:rPr>
                                <w:rStyle w:val="Emphasis"/>
                                <w:sz w:val="20"/>
                                <w:szCs w:val="20"/>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30.7pt;margin-top:34.95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yodwIAAFkFAAAOAAAAZHJzL2Uyb0RvYy54bWysVE1v2zAMvQ/YfxB0X50EST+COkWWosOA&#10;oi3aDj0rspQYk0RNYmJnv36U7KRZt0uHXWyKfKTIR1KXV601bKtCrMGVfHgy4Ew5CVXtViX/9nzz&#10;6ZyziMJVwoBTJd+pyK9mHz9cNn6qRrAGU6nAKIiL08aXfI3op0UR5VpZEU/AK0dGDcEKpGNYFVUQ&#10;DUW3phgNBqdFA6HyAaSKkbTXnZHPcnytlcR7raNCZkpOuWH+hvxdpm8xuxTTVRB+Xcs+DfEPWVhR&#10;O7r0EOpaoGCbUP8RytYyQASNJxJsAVrXUuUaqJrh4E01T2vhVa6FyIn+QFP8f2Hl3fYhsLoq+YQz&#10;Jyy16Fm1yD5DyyaJncbHKYGePMGwJTV1ea+PpExFtzrY9KdyGNmJ592B2xRMknI0Oj8dDMgkyTae&#10;XJyNM/nFq7cPEb8osCwJJQ/Uu0yp2N5GpEwIuoekyxzc1Mbk/hn3m4KAnUblAei9UyFdwlnCnVHJ&#10;y7hHpYmAnHdS5NFTCxPYVtDQCCmVw1xyjkvohNJ093sce3xy7bJ6j/PBI98MDg/OtnYQMktv0q6+&#10;71PWHZ74O6o7idgu277BS6h21N8A3X5EL29qasKtiPggAi0E9Y2WHO/pow00JYde4mwN4eff9AlP&#10;c0pWzhpasJLHHxsRFGfmq6MJvhiOaQQY5sN4cjaiQzi2LI8tbmMXQO0Y0nPiZRYTHs1e1AHsC70F&#10;83QrmYSTdHfJcS8usFt7ekukms8ziHbQC7x1T16m0IneNGLP7YsIvp9DpAm+g/0qiumbceywydPB&#10;fIOg6zyrieCO1Z542t88wv1bkx6I43NGvb6Is18AAAD//wMAUEsDBBQABgAIAAAAIQAXUOAw3QAA&#10;AAsBAAAPAAAAZHJzL2Rvd25yZXYueG1sTI9BT8MwDIXvSPyHyEjcWLJSqrU0nRCIK4gBk7hljddW&#10;NE7VZGv597gnuD37PT1/Lrez68UZx9B50rBeKRBItbcdNRo+3p9vNiBCNGRN7wk1/GCAbXV5UZrC&#10;+one8LyLjeASCoXR0MY4FFKGukVnwsoPSOwd/ehM5HFspB3NxOWul4lSmXSmI77QmgEfW6y/dyen&#10;4fPl+LVP1Wvz5O6Gyc9Kksul1tdX88M9iIhz/AvDgs/oUDHTwZ/IBtFryLJ1ylEWeQ5iCahk2RxY&#10;pcktyKqU/3+ofgEAAP//AwBQSwECLQAUAAYACAAAACEAtoM4kv4AAADhAQAAEwAAAAAAAAAAAAAA&#10;AAAAAAAAW0NvbnRlbnRfVHlwZXNdLnhtbFBLAQItABQABgAIAAAAIQA4/SH/1gAAAJQBAAALAAAA&#10;AAAAAAAAAAAAAC8BAABfcmVscy8ucmVsc1BLAQItABQABgAIAAAAIQDnGwyodwIAAFkFAAAOAAAA&#10;AAAAAAAAAAAAAC4CAABkcnMvZTJvRG9jLnhtbFBLAQItABQABgAIAAAAIQAXUOAw3QAAAAsBAAAP&#10;AAAAAAAAAAAAAAAAANEEAABkcnMvZG93bnJldi54bWxQSwUGAAAAAAQABADzAAAA2wUAAAAA&#10;" filled="f" stroked="f">
                <v:textbox>
                  <w:txbxContent>
                    <w:p w14:paraId="21D29914" w14:textId="15DB7B24" w:rsidR="00F238D6" w:rsidRPr="00020E76" w:rsidRDefault="00F238D6" w:rsidP="00F238D6">
                      <w:pPr>
                        <w:pStyle w:val="Footer"/>
                        <w:jc w:val="right"/>
                        <w:rPr>
                          <w:rStyle w:val="Emphasis"/>
                          <w:sz w:val="20"/>
                          <w:szCs w:val="20"/>
                        </w:rPr>
                      </w:pPr>
                      <w:r w:rsidRPr="00020E76">
                        <w:rPr>
                          <w:rStyle w:val="Emphasis"/>
                          <w:sz w:val="20"/>
                          <w:szCs w:val="20"/>
                        </w:rPr>
                        <w:t>AHRQ Pub. No. 16</w:t>
                      </w:r>
                      <w:r w:rsidR="00020E76">
                        <w:rPr>
                          <w:rStyle w:val="Emphasis"/>
                          <w:sz w:val="20"/>
                          <w:szCs w:val="20"/>
                        </w:rPr>
                        <w:t>(17)</w:t>
                      </w:r>
                      <w:r w:rsidRPr="00020E76">
                        <w:rPr>
                          <w:rStyle w:val="Emphasis"/>
                          <w:sz w:val="20"/>
                          <w:szCs w:val="20"/>
                        </w:rPr>
                        <w:t>-0018-45-EF</w:t>
                      </w:r>
                    </w:p>
                    <w:p w14:paraId="27474F50" w14:textId="15397328" w:rsidR="00F238D6" w:rsidRPr="00020E76" w:rsidRDefault="00020E76" w:rsidP="00F238D6">
                      <w:pPr>
                        <w:pStyle w:val="Footer"/>
                        <w:jc w:val="right"/>
                        <w:rPr>
                          <w:rStyle w:val="Emphasis"/>
                          <w:sz w:val="20"/>
                          <w:szCs w:val="20"/>
                        </w:rPr>
                      </w:pPr>
                      <w:r>
                        <w:rPr>
                          <w:rStyle w:val="Emphasis"/>
                          <w:sz w:val="20"/>
                          <w:szCs w:val="20"/>
                        </w:rPr>
                        <w:t>January</w:t>
                      </w:r>
                      <w:r w:rsidR="00F238D6" w:rsidRPr="00020E76">
                        <w:rPr>
                          <w:rStyle w:val="Emphasis"/>
                          <w:sz w:val="20"/>
                          <w:szCs w:val="20"/>
                        </w:rPr>
                        <w:t xml:space="preserve"> </w:t>
                      </w:r>
                      <w:r>
                        <w:rPr>
                          <w:rStyle w:val="Emphasis"/>
                          <w:sz w:val="20"/>
                          <w:szCs w:val="20"/>
                        </w:rPr>
                        <w:t>2017</w:t>
                      </w:r>
                    </w:p>
                  </w:txbxContent>
                </v:textbox>
              </v:shape>
            </w:pict>
          </mc:Fallback>
        </mc:AlternateContent>
      </w:r>
    </w:p>
    <w:tbl>
      <w:tblPr>
        <w:tblStyle w:val="TableGrid"/>
        <w:tblW w:w="10260" w:type="dxa"/>
        <w:tblInd w:w="-342" w:type="dxa"/>
        <w:tblLayout w:type="fixed"/>
        <w:tblLook w:val="04A0" w:firstRow="1" w:lastRow="0" w:firstColumn="1" w:lastColumn="0" w:noHBand="0" w:noVBand="1"/>
      </w:tblPr>
      <w:tblGrid>
        <w:gridCol w:w="5670"/>
        <w:gridCol w:w="4590"/>
      </w:tblGrid>
      <w:tr w:rsidR="004577E8" w:rsidRPr="00AD4681" w14:paraId="636468B6" w14:textId="77777777" w:rsidTr="004E43E1">
        <w:trPr>
          <w:cantSplit/>
          <w:tblHeader/>
        </w:trPr>
        <w:tc>
          <w:tcPr>
            <w:tcW w:w="5670" w:type="dxa"/>
            <w:shd w:val="clear" w:color="auto" w:fill="DAEEF3" w:themeFill="accent5" w:themeFillTint="33"/>
            <w:vAlign w:val="bottom"/>
          </w:tcPr>
          <w:p w14:paraId="5F0CF2A9" w14:textId="77777777" w:rsidR="004577E8" w:rsidRPr="00AD4681" w:rsidRDefault="004577E8" w:rsidP="00283168">
            <w:pPr>
              <w:pStyle w:val="TableTitles"/>
              <w:rPr>
                <w:rFonts w:cs="Arial"/>
              </w:rPr>
            </w:pPr>
            <w:r w:rsidRPr="00AD4681">
              <w:lastRenderedPageBreak/>
              <w:t>Slide Title and Commentary</w:t>
            </w:r>
          </w:p>
        </w:tc>
        <w:tc>
          <w:tcPr>
            <w:tcW w:w="4590" w:type="dxa"/>
            <w:shd w:val="clear" w:color="auto" w:fill="DAEEF3" w:themeFill="accent5" w:themeFillTint="33"/>
            <w:vAlign w:val="bottom"/>
          </w:tcPr>
          <w:p w14:paraId="0EC62ACB" w14:textId="77777777" w:rsidR="004577E8" w:rsidRPr="00AD4681" w:rsidRDefault="004577E8" w:rsidP="00283168">
            <w:pPr>
              <w:pStyle w:val="TableTitles"/>
            </w:pPr>
            <w:r w:rsidRPr="00AD4681">
              <w:t>Slide Number and Slide</w:t>
            </w:r>
          </w:p>
        </w:tc>
      </w:tr>
      <w:tr w:rsidR="004577E8" w:rsidRPr="00AD4681" w14:paraId="5A51A500" w14:textId="77777777" w:rsidTr="004E43E1">
        <w:trPr>
          <w:cantSplit/>
        </w:trPr>
        <w:tc>
          <w:tcPr>
            <w:tcW w:w="5670" w:type="dxa"/>
          </w:tcPr>
          <w:p w14:paraId="1E120C73" w14:textId="12CDE31A" w:rsidR="004577E8" w:rsidRPr="00AD4681" w:rsidRDefault="00553191" w:rsidP="004E43E1">
            <w:pPr>
              <w:pStyle w:val="SlideTitle"/>
            </w:pPr>
            <w:r>
              <w:t>Flaws With Early Endotracheal Tubes</w:t>
            </w:r>
          </w:p>
          <w:p w14:paraId="357454B2" w14:textId="77777777" w:rsidR="004577E8" w:rsidRPr="00AD4681" w:rsidRDefault="004577E8" w:rsidP="00283168">
            <w:pPr>
              <w:pStyle w:val="Instructions"/>
              <w:framePr w:wrap="around"/>
            </w:pPr>
            <w:r w:rsidRPr="00AD4681">
              <w:t>SAY:</w:t>
            </w:r>
          </w:p>
          <w:p w14:paraId="2BFCFD30" w14:textId="1F7765E0" w:rsidR="007E382F" w:rsidRPr="00396AF7" w:rsidRDefault="00D513CA" w:rsidP="007E382F">
            <w:pPr>
              <w:shd w:val="clear" w:color="auto" w:fill="FFFFFF"/>
              <w:spacing w:line="270" w:lineRule="atLeast"/>
              <w:textAlignment w:val="center"/>
              <w:rPr>
                <w:spacing w:val="6"/>
                <w:szCs w:val="24"/>
                <w:bdr w:val="none" w:sz="0" w:space="0" w:color="auto" w:frame="1"/>
              </w:rPr>
            </w:pPr>
            <w:r>
              <w:rPr>
                <w:spacing w:val="6"/>
                <w:szCs w:val="24"/>
                <w:bdr w:val="none" w:sz="0" w:space="0" w:color="auto" w:frame="1"/>
              </w:rPr>
              <w:t>The design of endotracheal and tracheostomy tubes is often considered a cause of ventilator-associate</w:t>
            </w:r>
            <w:r w:rsidR="009B1488">
              <w:rPr>
                <w:spacing w:val="6"/>
                <w:szCs w:val="24"/>
                <w:bdr w:val="none" w:sz="0" w:space="0" w:color="auto" w:frame="1"/>
              </w:rPr>
              <w:t>d</w:t>
            </w:r>
            <w:r>
              <w:rPr>
                <w:spacing w:val="6"/>
                <w:szCs w:val="24"/>
                <w:bdr w:val="none" w:sz="0" w:space="0" w:color="auto" w:frame="1"/>
              </w:rPr>
              <w:t xml:space="preserve"> pneumonia, or VAP. </w:t>
            </w:r>
            <w:r w:rsidR="007E382F" w:rsidRPr="00396AF7">
              <w:rPr>
                <w:spacing w:val="6"/>
                <w:szCs w:val="24"/>
                <w:bdr w:val="none" w:sz="0" w:space="0" w:color="auto" w:frame="1"/>
              </w:rPr>
              <w:t>Early endotracheal and tracheostomy tubes used high</w:t>
            </w:r>
            <w:r w:rsidR="00D8560E">
              <w:rPr>
                <w:spacing w:val="6"/>
                <w:szCs w:val="24"/>
                <w:bdr w:val="none" w:sz="0" w:space="0" w:color="auto" w:frame="1"/>
              </w:rPr>
              <w:t>-</w:t>
            </w:r>
            <w:r w:rsidR="007E382F" w:rsidRPr="00396AF7">
              <w:rPr>
                <w:spacing w:val="6"/>
                <w:szCs w:val="24"/>
                <w:bdr w:val="none" w:sz="0" w:space="0" w:color="auto" w:frame="1"/>
              </w:rPr>
              <w:t>pressure and low</w:t>
            </w:r>
            <w:r w:rsidR="00D8560E">
              <w:rPr>
                <w:spacing w:val="6"/>
                <w:szCs w:val="24"/>
                <w:bdr w:val="none" w:sz="0" w:space="0" w:color="auto" w:frame="1"/>
              </w:rPr>
              <w:t>-</w:t>
            </w:r>
            <w:r w:rsidR="007E382F" w:rsidRPr="00396AF7">
              <w:rPr>
                <w:spacing w:val="6"/>
                <w:szCs w:val="24"/>
                <w:bdr w:val="none" w:sz="0" w:space="0" w:color="auto" w:frame="1"/>
              </w:rPr>
              <w:t>volume cuffs</w:t>
            </w:r>
            <w:r w:rsidR="00D8560E">
              <w:rPr>
                <w:spacing w:val="6"/>
                <w:szCs w:val="24"/>
                <w:bdr w:val="none" w:sz="0" w:space="0" w:color="auto" w:frame="1"/>
              </w:rPr>
              <w:t>,</w:t>
            </w:r>
            <w:r w:rsidR="007E382F" w:rsidRPr="00396AF7">
              <w:rPr>
                <w:spacing w:val="6"/>
                <w:szCs w:val="24"/>
                <w:bdr w:val="none" w:sz="0" w:space="0" w:color="auto" w:frame="1"/>
              </w:rPr>
              <w:t xml:space="preserve"> which increased</w:t>
            </w:r>
            <w:r w:rsidR="003B6521">
              <w:rPr>
                <w:spacing w:val="6"/>
                <w:szCs w:val="24"/>
                <w:bdr w:val="none" w:sz="0" w:space="0" w:color="auto" w:frame="1"/>
              </w:rPr>
              <w:t xml:space="preserve"> the</w:t>
            </w:r>
            <w:r w:rsidR="007E382F" w:rsidRPr="00396AF7">
              <w:rPr>
                <w:spacing w:val="6"/>
                <w:szCs w:val="24"/>
                <w:bdr w:val="none" w:sz="0" w:space="0" w:color="auto" w:frame="1"/>
              </w:rPr>
              <w:t xml:space="preserve"> patient</w:t>
            </w:r>
            <w:r w:rsidR="003B6521">
              <w:rPr>
                <w:spacing w:val="6"/>
                <w:szCs w:val="24"/>
                <w:bdr w:val="none" w:sz="0" w:space="0" w:color="auto" w:frame="1"/>
              </w:rPr>
              <w:t>’s</w:t>
            </w:r>
            <w:r w:rsidR="007E382F" w:rsidRPr="00396AF7">
              <w:rPr>
                <w:spacing w:val="6"/>
                <w:szCs w:val="24"/>
                <w:bdr w:val="none" w:sz="0" w:space="0" w:color="auto" w:frame="1"/>
              </w:rPr>
              <w:t xml:space="preserve"> </w:t>
            </w:r>
            <w:r w:rsidR="007E382F" w:rsidRPr="00396AF7">
              <w:rPr>
                <w:spacing w:val="6"/>
                <w:szCs w:val="24"/>
              </w:rPr>
              <w:t>r</w:t>
            </w:r>
            <w:r w:rsidR="007E382F" w:rsidRPr="00396AF7">
              <w:rPr>
                <w:spacing w:val="6"/>
                <w:szCs w:val="24"/>
                <w:bdr w:val="none" w:sz="0" w:space="0" w:color="auto" w:frame="1"/>
              </w:rPr>
              <w:t xml:space="preserve">isk of tracheal mucosal ischemia and necrosis. The design of these tubes allowed secretions to pool below the vocal cords and above the cuff, ultimately leaking into the lungs and increasing the risk </w:t>
            </w:r>
            <w:r>
              <w:rPr>
                <w:spacing w:val="6"/>
                <w:szCs w:val="24"/>
                <w:bdr w:val="none" w:sz="0" w:space="0" w:color="auto" w:frame="1"/>
              </w:rPr>
              <w:t>of VAP. These early devices were replaced with tubes with</w:t>
            </w:r>
            <w:r w:rsidR="00BD6FA8">
              <w:rPr>
                <w:spacing w:val="6"/>
                <w:szCs w:val="24"/>
                <w:bdr w:val="none" w:sz="0" w:space="0" w:color="auto" w:frame="1"/>
              </w:rPr>
              <w:t xml:space="preserve"> barrel-shaped,</w:t>
            </w:r>
            <w:r>
              <w:rPr>
                <w:spacing w:val="6"/>
                <w:szCs w:val="24"/>
                <w:bdr w:val="none" w:sz="0" w:space="0" w:color="auto" w:frame="1"/>
              </w:rPr>
              <w:t xml:space="preserve"> low-pressure and high-volume cuffs</w:t>
            </w:r>
            <w:r w:rsidR="00D8560E">
              <w:rPr>
                <w:spacing w:val="6"/>
                <w:szCs w:val="24"/>
                <w:bdr w:val="none" w:sz="0" w:space="0" w:color="auto" w:frame="1"/>
              </w:rPr>
              <w:t>,</w:t>
            </w:r>
            <w:r>
              <w:rPr>
                <w:spacing w:val="6"/>
                <w:szCs w:val="24"/>
                <w:bdr w:val="none" w:sz="0" w:space="0" w:color="auto" w:frame="1"/>
              </w:rPr>
              <w:t xml:space="preserve"> which, while not completely eliminating the pooling of secretions, helped </w:t>
            </w:r>
            <w:r w:rsidR="00BD6FA8">
              <w:rPr>
                <w:spacing w:val="6"/>
                <w:szCs w:val="24"/>
                <w:bdr w:val="none" w:sz="0" w:space="0" w:color="auto" w:frame="1"/>
              </w:rPr>
              <w:t>decrease</w:t>
            </w:r>
            <w:r>
              <w:rPr>
                <w:spacing w:val="6"/>
                <w:szCs w:val="24"/>
                <w:bdr w:val="none" w:sz="0" w:space="0" w:color="auto" w:frame="1"/>
              </w:rPr>
              <w:t xml:space="preserve"> the risk.</w:t>
            </w:r>
          </w:p>
          <w:p w14:paraId="6E5FF56A" w14:textId="16CC0588" w:rsidR="004577E8" w:rsidRPr="00AD4681" w:rsidRDefault="004577E8" w:rsidP="004E43E1"/>
        </w:tc>
        <w:tc>
          <w:tcPr>
            <w:tcW w:w="4590" w:type="dxa"/>
          </w:tcPr>
          <w:p w14:paraId="7256E641" w14:textId="77777777" w:rsidR="004577E8" w:rsidRPr="00AD4681" w:rsidRDefault="004577E8" w:rsidP="00283168">
            <w:pPr>
              <w:pStyle w:val="TableTitles"/>
            </w:pPr>
            <w:r w:rsidRPr="00AD4681">
              <w:t>Slide 3</w:t>
            </w:r>
          </w:p>
          <w:p w14:paraId="0ACC4A78" w14:textId="428BF4F4" w:rsidR="004577E8" w:rsidRPr="00AD4681" w:rsidRDefault="00BD6FA8" w:rsidP="004E43E1">
            <w:pPr>
              <w:rPr>
                <w:noProof/>
              </w:rPr>
            </w:pPr>
            <w:r>
              <w:rPr>
                <w:noProof/>
              </w:rPr>
              <w:drawing>
                <wp:inline distT="0" distB="0" distL="0" distR="0" wp14:anchorId="73AE9F70" wp14:editId="0041DB87">
                  <wp:extent cx="2567636" cy="192581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879" cy="1922247"/>
                          </a:xfrm>
                          <a:prstGeom prst="rect">
                            <a:avLst/>
                          </a:prstGeom>
                          <a:noFill/>
                        </pic:spPr>
                      </pic:pic>
                    </a:graphicData>
                  </a:graphic>
                </wp:inline>
              </w:drawing>
            </w:r>
          </w:p>
        </w:tc>
      </w:tr>
      <w:tr w:rsidR="001536C5" w:rsidRPr="00AD4681" w14:paraId="2BF17579" w14:textId="77777777" w:rsidTr="004E43E1">
        <w:trPr>
          <w:cantSplit/>
        </w:trPr>
        <w:tc>
          <w:tcPr>
            <w:tcW w:w="5670" w:type="dxa"/>
          </w:tcPr>
          <w:p w14:paraId="0D712C65" w14:textId="21DD3422" w:rsidR="001536C5" w:rsidRPr="00AD4681" w:rsidRDefault="00FE3496" w:rsidP="00FF6593">
            <w:pPr>
              <w:pStyle w:val="SlideTitle"/>
            </w:pPr>
            <w:r>
              <w:t>SSD-</w:t>
            </w:r>
            <w:r w:rsidR="00553191">
              <w:t>ETTs</w:t>
            </w:r>
          </w:p>
          <w:p w14:paraId="49C0DFF4" w14:textId="77777777" w:rsidR="001536C5" w:rsidRPr="00AD4681" w:rsidRDefault="001536C5" w:rsidP="00FF6593">
            <w:pPr>
              <w:pStyle w:val="Instructions"/>
              <w:framePr w:wrap="around"/>
            </w:pPr>
            <w:r w:rsidRPr="00AD4681">
              <w:t>SAY:</w:t>
            </w:r>
          </w:p>
          <w:p w14:paraId="58B1B813" w14:textId="58F13181" w:rsidR="007E382F" w:rsidRPr="00396AF7" w:rsidRDefault="007E382F" w:rsidP="007E382F">
            <w:pPr>
              <w:shd w:val="clear" w:color="auto" w:fill="FFFFFF"/>
              <w:spacing w:line="270" w:lineRule="atLeast"/>
              <w:textAlignment w:val="center"/>
              <w:rPr>
                <w:szCs w:val="24"/>
              </w:rPr>
            </w:pPr>
            <w:r w:rsidRPr="00396AF7">
              <w:rPr>
                <w:szCs w:val="24"/>
              </w:rPr>
              <w:t>Newer endotracheal tubes, SDD-ETTs, have a small hole at the rear of the tube and above the cuff. A channel runs up inside the endotracheal tube and is connected to a suction port to remove secretion</w:t>
            </w:r>
            <w:r w:rsidR="003B6521">
              <w:rPr>
                <w:szCs w:val="24"/>
              </w:rPr>
              <w:t>s</w:t>
            </w:r>
            <w:r w:rsidRPr="00396AF7">
              <w:rPr>
                <w:szCs w:val="24"/>
              </w:rPr>
              <w:t xml:space="preserve"> and prevent bacteria accumulation.</w:t>
            </w:r>
          </w:p>
          <w:p w14:paraId="372F7699" w14:textId="7A458950" w:rsidR="001536C5" w:rsidRPr="001536C5" w:rsidRDefault="001536C5" w:rsidP="001536C5">
            <w:pPr>
              <w:pStyle w:val="SlideTitle"/>
              <w:spacing w:before="20" w:after="120"/>
              <w:rPr>
                <w:b w:val="0"/>
              </w:rPr>
            </w:pPr>
          </w:p>
        </w:tc>
        <w:tc>
          <w:tcPr>
            <w:tcW w:w="4590" w:type="dxa"/>
          </w:tcPr>
          <w:p w14:paraId="01146B86" w14:textId="018CC598" w:rsidR="001536C5" w:rsidRPr="00AD4681" w:rsidRDefault="001536C5" w:rsidP="00FF6593">
            <w:pPr>
              <w:pStyle w:val="TableTitles"/>
            </w:pPr>
            <w:r w:rsidRPr="00AD4681">
              <w:t xml:space="preserve">Slide </w:t>
            </w:r>
            <w:r>
              <w:t>4</w:t>
            </w:r>
          </w:p>
          <w:p w14:paraId="32E590D1" w14:textId="57ED9DB5" w:rsidR="001536C5" w:rsidRPr="00AD4681" w:rsidRDefault="00CE41DB" w:rsidP="00283168">
            <w:pPr>
              <w:pStyle w:val="TableTitles"/>
            </w:pPr>
            <w:r w:rsidRPr="00CE41DB">
              <w:rPr>
                <w:noProof/>
                <w:lang w:bidi="ar-SA"/>
              </w:rPr>
              <w:drawing>
                <wp:inline distT="0" distB="0" distL="0" distR="0" wp14:anchorId="51C80969" wp14:editId="17D63A60">
                  <wp:extent cx="2551176" cy="1911096"/>
                  <wp:effectExtent l="19050" t="19050" r="2095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04798565" w14:textId="77777777" w:rsidTr="004E43E1">
        <w:trPr>
          <w:cantSplit/>
        </w:trPr>
        <w:tc>
          <w:tcPr>
            <w:tcW w:w="5670" w:type="dxa"/>
          </w:tcPr>
          <w:p w14:paraId="076D93C1" w14:textId="55528E77" w:rsidR="001536C5" w:rsidRPr="00AD4681" w:rsidRDefault="00553191" w:rsidP="00FF6593">
            <w:pPr>
              <w:pStyle w:val="SlideTitle"/>
            </w:pPr>
            <w:r>
              <w:lastRenderedPageBreak/>
              <w:t>SSD-ETT Specific VAP Prevention Guidelines</w:t>
            </w:r>
          </w:p>
          <w:p w14:paraId="11C9FCB4" w14:textId="77777777" w:rsidR="001536C5" w:rsidRPr="00AD4681" w:rsidRDefault="001536C5" w:rsidP="00FF6593">
            <w:pPr>
              <w:pStyle w:val="Instructions"/>
              <w:framePr w:wrap="around"/>
            </w:pPr>
            <w:r w:rsidRPr="00AD4681">
              <w:t>SAY:</w:t>
            </w:r>
          </w:p>
          <w:p w14:paraId="6D32F53E" w14:textId="50DB84F2" w:rsidR="007E382F" w:rsidRPr="00396AF7" w:rsidRDefault="007E382F" w:rsidP="007E382F">
            <w:pPr>
              <w:spacing w:line="300" w:lineRule="exact"/>
              <w:rPr>
                <w:szCs w:val="24"/>
              </w:rPr>
            </w:pPr>
            <w:r w:rsidRPr="00396AF7">
              <w:rPr>
                <w:szCs w:val="24"/>
              </w:rPr>
              <w:t>Evidence shows that an SSD-ETT can significantly reduce the need for mechanical ventilation, patient risk for ventilator associated pneumonia</w:t>
            </w:r>
            <w:r w:rsidR="00490499">
              <w:rPr>
                <w:szCs w:val="24"/>
              </w:rPr>
              <w:t xml:space="preserve"> or</w:t>
            </w:r>
            <w:r w:rsidRPr="00396AF7">
              <w:rPr>
                <w:szCs w:val="24"/>
              </w:rPr>
              <w:t xml:space="preserve"> VAP, and time spent in the intensive-care unit</w:t>
            </w:r>
            <w:r w:rsidR="00B10614">
              <w:rPr>
                <w:szCs w:val="24"/>
              </w:rPr>
              <w:t xml:space="preserve"> or</w:t>
            </w:r>
            <w:r w:rsidRPr="00396AF7">
              <w:rPr>
                <w:szCs w:val="24"/>
              </w:rPr>
              <w:t xml:space="preserve"> ICU. </w:t>
            </w:r>
            <w:r w:rsidR="00FE3496">
              <w:rPr>
                <w:szCs w:val="24"/>
              </w:rPr>
              <w:t xml:space="preserve">These organizations recommend </w:t>
            </w:r>
            <w:r w:rsidRPr="00396AF7">
              <w:rPr>
                <w:szCs w:val="24"/>
              </w:rPr>
              <w:t xml:space="preserve">that these endotracheal tubes should be provided for mechanically ventilated patients who are likely to need an endotracheal tube for </w:t>
            </w:r>
            <w:r w:rsidR="00490499">
              <w:rPr>
                <w:szCs w:val="24"/>
              </w:rPr>
              <w:t>more than</w:t>
            </w:r>
            <w:r w:rsidRPr="00396AF7">
              <w:rPr>
                <w:szCs w:val="24"/>
              </w:rPr>
              <w:t xml:space="preserve"> 72 hours.</w:t>
            </w:r>
          </w:p>
          <w:p w14:paraId="78177565" w14:textId="6528E701" w:rsidR="001536C5" w:rsidRPr="001536C5" w:rsidRDefault="001536C5" w:rsidP="001536C5">
            <w:pPr>
              <w:pStyle w:val="SlideTitle"/>
              <w:spacing w:before="20" w:after="120"/>
              <w:rPr>
                <w:b w:val="0"/>
              </w:rPr>
            </w:pPr>
          </w:p>
        </w:tc>
        <w:tc>
          <w:tcPr>
            <w:tcW w:w="4590" w:type="dxa"/>
          </w:tcPr>
          <w:p w14:paraId="7764D703" w14:textId="5904F585" w:rsidR="001536C5" w:rsidRPr="00AD4681" w:rsidRDefault="001536C5" w:rsidP="00FF6593">
            <w:pPr>
              <w:pStyle w:val="TableTitles"/>
            </w:pPr>
            <w:r w:rsidRPr="00AD4681">
              <w:t xml:space="preserve">Slide </w:t>
            </w:r>
            <w:r>
              <w:t>5</w:t>
            </w:r>
          </w:p>
          <w:p w14:paraId="36FF8AB8" w14:textId="0CCDA1C8" w:rsidR="001536C5" w:rsidRPr="00AD4681" w:rsidRDefault="00CE41DB" w:rsidP="00283168">
            <w:pPr>
              <w:pStyle w:val="TableTitles"/>
            </w:pPr>
            <w:r w:rsidRPr="00CE41DB">
              <w:rPr>
                <w:noProof/>
                <w:lang w:bidi="ar-SA"/>
              </w:rPr>
              <w:drawing>
                <wp:inline distT="0" distB="0" distL="0" distR="0" wp14:anchorId="0E95F751" wp14:editId="16CC490F">
                  <wp:extent cx="2551176" cy="1911096"/>
                  <wp:effectExtent l="19050" t="19050" r="20955"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1F17289F" w14:textId="77777777" w:rsidTr="004E43E1">
        <w:trPr>
          <w:cantSplit/>
        </w:trPr>
        <w:tc>
          <w:tcPr>
            <w:tcW w:w="5670" w:type="dxa"/>
          </w:tcPr>
          <w:p w14:paraId="20B1F950" w14:textId="77777777" w:rsidR="00CF184F" w:rsidRPr="00AD4681" w:rsidRDefault="00CF184F" w:rsidP="00CF184F">
            <w:pPr>
              <w:pStyle w:val="SlideTitle"/>
            </w:pPr>
            <w:r>
              <w:t>SSD-ETT Specific VAP Prevention Guidelines</w:t>
            </w:r>
          </w:p>
          <w:p w14:paraId="049D7B6F" w14:textId="77777777" w:rsidR="001536C5" w:rsidRPr="00AD4681" w:rsidRDefault="001536C5" w:rsidP="00FF6593">
            <w:pPr>
              <w:pStyle w:val="Instructions"/>
              <w:framePr w:wrap="around"/>
            </w:pPr>
            <w:r w:rsidRPr="00AD4681">
              <w:t>SAY:</w:t>
            </w:r>
          </w:p>
          <w:p w14:paraId="45BA6EC9" w14:textId="108828AF" w:rsidR="007E382F" w:rsidRPr="00396AF7" w:rsidRDefault="003058D1" w:rsidP="007E382F">
            <w:pPr>
              <w:spacing w:line="300" w:lineRule="exact"/>
              <w:rPr>
                <w:szCs w:val="24"/>
              </w:rPr>
            </w:pPr>
            <w:r>
              <w:rPr>
                <w:szCs w:val="24"/>
              </w:rPr>
              <w:t>These organizations also recommend that</w:t>
            </w:r>
            <w:r w:rsidR="00800527">
              <w:rPr>
                <w:szCs w:val="24"/>
              </w:rPr>
              <w:t xml:space="preserve"> </w:t>
            </w:r>
            <w:r w:rsidR="007E382F" w:rsidRPr="00396AF7">
              <w:rPr>
                <w:szCs w:val="24"/>
              </w:rPr>
              <w:t>ETTs should have a dorsal lumen to drain tracheal secretion</w:t>
            </w:r>
            <w:r w:rsidR="00800527">
              <w:rPr>
                <w:szCs w:val="24"/>
              </w:rPr>
              <w:t>s</w:t>
            </w:r>
            <w:r w:rsidR="007E382F" w:rsidRPr="00396AF7">
              <w:rPr>
                <w:szCs w:val="24"/>
              </w:rPr>
              <w:t xml:space="preserve"> from the patient’s subglottic area.</w:t>
            </w:r>
          </w:p>
          <w:p w14:paraId="194BE3E1" w14:textId="631C0A0D" w:rsidR="001536C5" w:rsidRPr="001536C5" w:rsidRDefault="001536C5" w:rsidP="001536C5">
            <w:pPr>
              <w:pStyle w:val="SlideTitle"/>
              <w:spacing w:before="20" w:after="120"/>
              <w:rPr>
                <w:b w:val="0"/>
              </w:rPr>
            </w:pPr>
          </w:p>
        </w:tc>
        <w:tc>
          <w:tcPr>
            <w:tcW w:w="4590" w:type="dxa"/>
          </w:tcPr>
          <w:p w14:paraId="781F7B8E" w14:textId="6BA4152A" w:rsidR="001536C5" w:rsidRPr="00AD4681" w:rsidRDefault="001536C5" w:rsidP="00FF6593">
            <w:pPr>
              <w:pStyle w:val="TableTitles"/>
            </w:pPr>
            <w:r>
              <w:t>Slide 6</w:t>
            </w:r>
          </w:p>
          <w:p w14:paraId="0F71E2D1" w14:textId="4FB278B5" w:rsidR="001536C5" w:rsidRPr="00AD4681" w:rsidRDefault="00CE41DB" w:rsidP="00283168">
            <w:pPr>
              <w:pStyle w:val="TableTitles"/>
            </w:pPr>
            <w:r w:rsidRPr="00CE41DB">
              <w:rPr>
                <w:noProof/>
                <w:lang w:bidi="ar-SA"/>
              </w:rPr>
              <w:drawing>
                <wp:inline distT="0" distB="0" distL="0" distR="0" wp14:anchorId="045D2BC1" wp14:editId="51782963">
                  <wp:extent cx="2551176" cy="1911096"/>
                  <wp:effectExtent l="19050" t="19050" r="2095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68F7D0DA" w14:textId="77777777" w:rsidTr="004E43E1">
        <w:trPr>
          <w:cantSplit/>
        </w:trPr>
        <w:tc>
          <w:tcPr>
            <w:tcW w:w="5670" w:type="dxa"/>
          </w:tcPr>
          <w:p w14:paraId="6AD3F0A4" w14:textId="19EF8CF4" w:rsidR="001536C5" w:rsidRPr="00AD4681" w:rsidRDefault="00FE3496" w:rsidP="00FF6593">
            <w:pPr>
              <w:pStyle w:val="SlideTitle"/>
            </w:pPr>
            <w:r>
              <w:t>SSD-</w:t>
            </w:r>
            <w:r w:rsidR="00D43295">
              <w:t>ETTs—More Recent Evidence</w:t>
            </w:r>
          </w:p>
          <w:p w14:paraId="5FC3BFBC" w14:textId="77777777" w:rsidR="001536C5" w:rsidRPr="00AD4681" w:rsidRDefault="001536C5" w:rsidP="00FF6593">
            <w:pPr>
              <w:pStyle w:val="Instructions"/>
              <w:framePr w:wrap="around"/>
            </w:pPr>
            <w:r w:rsidRPr="00AD4681">
              <w:t>SAY:</w:t>
            </w:r>
          </w:p>
          <w:p w14:paraId="43C6D505" w14:textId="0CF3F205" w:rsidR="007E382F" w:rsidRPr="00396AF7" w:rsidRDefault="004952D1" w:rsidP="007E382F">
            <w:pPr>
              <w:shd w:val="clear" w:color="auto" w:fill="FFFFFF"/>
              <w:spacing w:line="270" w:lineRule="atLeast"/>
              <w:jc w:val="both"/>
              <w:textAlignment w:val="center"/>
              <w:rPr>
                <w:spacing w:val="6"/>
                <w:szCs w:val="24"/>
                <w:bdr w:val="none" w:sz="0" w:space="0" w:color="auto" w:frame="1"/>
              </w:rPr>
            </w:pPr>
            <w:r>
              <w:rPr>
                <w:spacing w:val="6"/>
                <w:szCs w:val="24"/>
                <w:bdr w:val="none" w:sz="0" w:space="0" w:color="auto" w:frame="1"/>
              </w:rPr>
              <w:t xml:space="preserve">A systematic review and meta-analysis of </w:t>
            </w:r>
            <w:r w:rsidR="007E382F" w:rsidRPr="00396AF7">
              <w:rPr>
                <w:spacing w:val="6"/>
                <w:szCs w:val="24"/>
                <w:bdr w:val="none" w:sz="0" w:space="0" w:color="auto" w:frame="1"/>
              </w:rPr>
              <w:t>13</w:t>
            </w:r>
            <w:r>
              <w:rPr>
                <w:spacing w:val="6"/>
                <w:szCs w:val="24"/>
                <w:bdr w:val="none" w:sz="0" w:space="0" w:color="auto" w:frame="1"/>
              </w:rPr>
              <w:t xml:space="preserve"> </w:t>
            </w:r>
            <w:r w:rsidR="007E382F" w:rsidRPr="00396AF7">
              <w:rPr>
                <w:spacing w:val="6"/>
                <w:szCs w:val="24"/>
                <w:bdr w:val="none" w:sz="0" w:space="0" w:color="auto" w:frame="1"/>
              </w:rPr>
              <w:t>ra</w:t>
            </w:r>
            <w:r>
              <w:rPr>
                <w:spacing w:val="6"/>
                <w:szCs w:val="24"/>
                <w:bdr w:val="none" w:sz="0" w:space="0" w:color="auto" w:frame="1"/>
              </w:rPr>
              <w:t xml:space="preserve">ndomized controlled trials </w:t>
            </w:r>
            <w:r w:rsidR="007E382F" w:rsidRPr="00396AF7">
              <w:rPr>
                <w:spacing w:val="6"/>
                <w:szCs w:val="24"/>
                <w:bdr w:val="none" w:sz="0" w:space="0" w:color="auto" w:frame="1"/>
              </w:rPr>
              <w:t>evaluated subglottic secretion drainage in 2,442 patients. Overall, implementing SSD-ETTs caused a 45 percent VAP reduction, shortened patient length</w:t>
            </w:r>
            <w:r w:rsidR="0068182E">
              <w:rPr>
                <w:spacing w:val="6"/>
                <w:szCs w:val="24"/>
                <w:bdr w:val="none" w:sz="0" w:space="0" w:color="auto" w:frame="1"/>
              </w:rPr>
              <w:t xml:space="preserve"> </w:t>
            </w:r>
            <w:r w:rsidR="007E382F" w:rsidRPr="00396AF7">
              <w:rPr>
                <w:spacing w:val="6"/>
                <w:szCs w:val="24"/>
                <w:bdr w:val="none" w:sz="0" w:space="0" w:color="auto" w:frame="1"/>
              </w:rPr>
              <w:t>of</w:t>
            </w:r>
            <w:r w:rsidR="0068182E">
              <w:rPr>
                <w:spacing w:val="6"/>
                <w:szCs w:val="24"/>
                <w:bdr w:val="none" w:sz="0" w:space="0" w:color="auto" w:frame="1"/>
              </w:rPr>
              <w:t xml:space="preserve"> </w:t>
            </w:r>
            <w:r w:rsidR="007E382F" w:rsidRPr="00396AF7">
              <w:rPr>
                <w:spacing w:val="6"/>
                <w:szCs w:val="24"/>
                <w:bdr w:val="none" w:sz="0" w:space="0" w:color="auto" w:frame="1"/>
              </w:rPr>
              <w:t>stay in ICUs by 1.5 days, and shortened the length of mechanical ventilation necessary for patients by 1.1 days.</w:t>
            </w:r>
            <w:r>
              <w:rPr>
                <w:spacing w:val="6"/>
                <w:szCs w:val="24"/>
                <w:bdr w:val="none" w:sz="0" w:space="0" w:color="auto" w:frame="1"/>
              </w:rPr>
              <w:t xml:space="preserve"> The review also demonstrated that using SSD-ETT had no effect on adverse events or on hospital or ICU mortality.</w:t>
            </w:r>
          </w:p>
          <w:p w14:paraId="4DB8D98D" w14:textId="5118E99C" w:rsidR="001536C5" w:rsidRPr="001536C5" w:rsidRDefault="001536C5" w:rsidP="001536C5">
            <w:pPr>
              <w:pStyle w:val="SlideTitle"/>
              <w:spacing w:before="20" w:after="120"/>
              <w:rPr>
                <w:b w:val="0"/>
              </w:rPr>
            </w:pPr>
          </w:p>
        </w:tc>
        <w:tc>
          <w:tcPr>
            <w:tcW w:w="4590" w:type="dxa"/>
          </w:tcPr>
          <w:p w14:paraId="457476AE" w14:textId="36A72A15" w:rsidR="001536C5" w:rsidRPr="00AD4681" w:rsidRDefault="001536C5" w:rsidP="00FF6593">
            <w:pPr>
              <w:pStyle w:val="TableTitles"/>
            </w:pPr>
            <w:r>
              <w:t>Slide 7</w:t>
            </w:r>
          </w:p>
          <w:p w14:paraId="477EDD2D" w14:textId="1C038FDB" w:rsidR="001536C5" w:rsidRPr="00AD4681" w:rsidRDefault="00CE41DB" w:rsidP="00283168">
            <w:pPr>
              <w:pStyle w:val="TableTitles"/>
            </w:pPr>
            <w:r w:rsidRPr="00CE41DB">
              <w:rPr>
                <w:noProof/>
                <w:lang w:bidi="ar-SA"/>
              </w:rPr>
              <w:drawing>
                <wp:inline distT="0" distB="0" distL="0" distR="0" wp14:anchorId="25E65052" wp14:editId="2CC4ADBC">
                  <wp:extent cx="2551176" cy="1911096"/>
                  <wp:effectExtent l="19050" t="19050" r="2095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2BC1B4D7" w14:textId="77777777" w:rsidTr="004E43E1">
        <w:trPr>
          <w:cantSplit/>
        </w:trPr>
        <w:tc>
          <w:tcPr>
            <w:tcW w:w="5670" w:type="dxa"/>
          </w:tcPr>
          <w:p w14:paraId="1FF9CD73" w14:textId="7B70E32C" w:rsidR="001536C5" w:rsidRPr="00AD4681" w:rsidRDefault="00FE3496" w:rsidP="00FF6593">
            <w:pPr>
              <w:pStyle w:val="SlideTitle"/>
            </w:pPr>
            <w:r>
              <w:lastRenderedPageBreak/>
              <w:t>SSD-</w:t>
            </w:r>
            <w:r w:rsidR="00022C2A">
              <w:t>ETTs—Cost Effectiveness Analyses</w:t>
            </w:r>
          </w:p>
          <w:p w14:paraId="4D4B7F41" w14:textId="788A1130" w:rsidR="001536C5" w:rsidRPr="00AD4681" w:rsidRDefault="00174D22" w:rsidP="00FF6593">
            <w:pPr>
              <w:pStyle w:val="Instructions"/>
              <w:framePr w:wrap="around"/>
            </w:pPr>
            <w:r>
              <w:t>ASK</w:t>
            </w:r>
            <w:r w:rsidR="001536C5" w:rsidRPr="00AD4681">
              <w:t>:</w:t>
            </w:r>
          </w:p>
          <w:p w14:paraId="3EBA7E61" w14:textId="34C81A0D" w:rsidR="007E382F" w:rsidRPr="00396AF7" w:rsidRDefault="007E382F" w:rsidP="007E382F">
            <w:pPr>
              <w:rPr>
                <w:szCs w:val="24"/>
              </w:rPr>
            </w:pPr>
            <w:r w:rsidRPr="00396AF7">
              <w:rPr>
                <w:szCs w:val="24"/>
              </w:rPr>
              <w:t>Are SSD-ETTs cost</w:t>
            </w:r>
            <w:r w:rsidR="0068182E">
              <w:rPr>
                <w:szCs w:val="24"/>
              </w:rPr>
              <w:t xml:space="preserve"> </w:t>
            </w:r>
            <w:r w:rsidRPr="00396AF7">
              <w:rPr>
                <w:szCs w:val="24"/>
              </w:rPr>
              <w:t>effective?</w:t>
            </w:r>
          </w:p>
          <w:p w14:paraId="307C64EF" w14:textId="77777777" w:rsidR="00174D22" w:rsidRPr="00174D22" w:rsidRDefault="007E382F" w:rsidP="00174D22">
            <w:pPr>
              <w:spacing w:before="120" w:after="0"/>
              <w:rPr>
                <w:b/>
                <w:szCs w:val="24"/>
              </w:rPr>
            </w:pPr>
            <w:r w:rsidRPr="00174D22">
              <w:rPr>
                <w:b/>
                <w:szCs w:val="24"/>
              </w:rPr>
              <w:t xml:space="preserve">SAY: </w:t>
            </w:r>
          </w:p>
          <w:p w14:paraId="1685D556" w14:textId="7B9C435B" w:rsidR="001536C5" w:rsidRPr="001536C5" w:rsidRDefault="007E382F" w:rsidP="0005623A">
            <w:pPr>
              <w:rPr>
                <w:b/>
              </w:rPr>
            </w:pPr>
            <w:r w:rsidRPr="00396AF7">
              <w:rPr>
                <w:szCs w:val="24"/>
              </w:rPr>
              <w:t>While SSD-ETTs are more expensive than standard endotracheal tubes, they are certainly cost</w:t>
            </w:r>
            <w:r w:rsidR="0068182E">
              <w:rPr>
                <w:szCs w:val="24"/>
              </w:rPr>
              <w:t xml:space="preserve"> </w:t>
            </w:r>
            <w:r w:rsidRPr="00396AF7">
              <w:rPr>
                <w:szCs w:val="24"/>
              </w:rPr>
              <w:t>effective in their ability to prevent VAP and the costs associated with it.</w:t>
            </w:r>
            <w:r w:rsidR="004952D1">
              <w:rPr>
                <w:szCs w:val="24"/>
              </w:rPr>
              <w:t xml:space="preserve"> Research</w:t>
            </w:r>
            <w:r w:rsidR="0005623A">
              <w:rPr>
                <w:szCs w:val="24"/>
              </w:rPr>
              <w:t xml:space="preserve"> by Hallais et al.</w:t>
            </w:r>
            <w:r w:rsidR="004952D1">
              <w:rPr>
                <w:szCs w:val="24"/>
              </w:rPr>
              <w:t xml:space="preserve"> on the cost-benefit analysis of replacing conventional ventilation with continuous subglottic suctioning showed that even when assuming the most pessimistic scenario of VAP incidence and costs, implementing SSD-ETT was still more cost effective than conventional methods.</w:t>
            </w:r>
          </w:p>
        </w:tc>
        <w:tc>
          <w:tcPr>
            <w:tcW w:w="4590" w:type="dxa"/>
          </w:tcPr>
          <w:p w14:paraId="7DF16157" w14:textId="0259807F" w:rsidR="001536C5" w:rsidRPr="00AD4681" w:rsidRDefault="001536C5" w:rsidP="00FF6593">
            <w:pPr>
              <w:pStyle w:val="TableTitles"/>
            </w:pPr>
            <w:r>
              <w:t>Slide 8</w:t>
            </w:r>
          </w:p>
          <w:p w14:paraId="27561072" w14:textId="0E34D607" w:rsidR="001536C5" w:rsidRPr="00AD4681" w:rsidRDefault="00CE41DB" w:rsidP="00283168">
            <w:pPr>
              <w:pStyle w:val="TableTitles"/>
            </w:pPr>
            <w:r w:rsidRPr="00CE41DB">
              <w:rPr>
                <w:noProof/>
                <w:lang w:bidi="ar-SA"/>
              </w:rPr>
              <w:drawing>
                <wp:inline distT="0" distB="0" distL="0" distR="0" wp14:anchorId="7CA2B958" wp14:editId="0B0025F2">
                  <wp:extent cx="2551176" cy="1911096"/>
                  <wp:effectExtent l="19050" t="19050" r="20955"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57D56C2F" w14:textId="77777777" w:rsidTr="004E43E1">
        <w:trPr>
          <w:cantSplit/>
        </w:trPr>
        <w:tc>
          <w:tcPr>
            <w:tcW w:w="5670" w:type="dxa"/>
          </w:tcPr>
          <w:p w14:paraId="30303B1F" w14:textId="7E077A08" w:rsidR="001536C5" w:rsidRPr="00AD4681" w:rsidRDefault="00953905" w:rsidP="00FF6593">
            <w:pPr>
              <w:pStyle w:val="SlideTitle"/>
            </w:pPr>
            <w:r>
              <w:t>Subglottic Suctioning Study</w:t>
            </w:r>
          </w:p>
          <w:p w14:paraId="4558D91F" w14:textId="77777777" w:rsidR="001536C5" w:rsidRPr="00AD4681" w:rsidRDefault="001536C5" w:rsidP="00FF6593">
            <w:pPr>
              <w:pStyle w:val="Instructions"/>
              <w:framePr w:wrap="around"/>
            </w:pPr>
            <w:r w:rsidRPr="00AD4681">
              <w:t>SAY:</w:t>
            </w:r>
          </w:p>
          <w:p w14:paraId="728433AF" w14:textId="78A928D6" w:rsidR="001536C5" w:rsidRPr="007E382F" w:rsidRDefault="007E382F" w:rsidP="0068182E">
            <w:pPr>
              <w:shd w:val="clear" w:color="auto" w:fill="FFFFFF"/>
              <w:spacing w:line="270" w:lineRule="atLeast"/>
              <w:textAlignment w:val="center"/>
              <w:rPr>
                <w:spacing w:val="6"/>
                <w:szCs w:val="24"/>
              </w:rPr>
            </w:pPr>
            <w:r w:rsidRPr="00396AF7">
              <w:rPr>
                <w:spacing w:val="6"/>
                <w:szCs w:val="24"/>
                <w:bdr w:val="none" w:sz="0" w:space="0" w:color="auto" w:frame="1"/>
              </w:rPr>
              <w:t xml:space="preserve">A randomized controlled clinical trial was conducted in </w:t>
            </w:r>
            <w:r w:rsidRPr="00396AF7">
              <w:rPr>
                <w:spacing w:val="-9"/>
                <w:szCs w:val="24"/>
                <w:bdr w:val="none" w:sz="0" w:space="0" w:color="auto" w:frame="1"/>
              </w:rPr>
              <w:t>five ICUs of the same hospital. This trial was used to confirm the effect su</w:t>
            </w:r>
            <w:r w:rsidRPr="00396AF7">
              <w:rPr>
                <w:spacing w:val="6"/>
                <w:szCs w:val="24"/>
                <w:bdr w:val="none" w:sz="0" w:space="0" w:color="auto" w:frame="1"/>
              </w:rPr>
              <w:t>bglottic secretion suctioning had on VAP prevalence as well as other ventilator</w:t>
            </w:r>
            <w:r w:rsidR="0068182E">
              <w:rPr>
                <w:spacing w:val="6"/>
                <w:szCs w:val="24"/>
                <w:bdr w:val="none" w:sz="0" w:space="0" w:color="auto" w:frame="1"/>
              </w:rPr>
              <w:t>-</w:t>
            </w:r>
            <w:r w:rsidRPr="00396AF7">
              <w:rPr>
                <w:spacing w:val="6"/>
                <w:szCs w:val="24"/>
                <w:bdr w:val="none" w:sz="0" w:space="0" w:color="auto" w:frame="1"/>
              </w:rPr>
              <w:t>associated conditions</w:t>
            </w:r>
            <w:r w:rsidR="0068182E">
              <w:rPr>
                <w:spacing w:val="6"/>
                <w:szCs w:val="24"/>
                <w:bdr w:val="none" w:sz="0" w:space="0" w:color="auto" w:frame="1"/>
              </w:rPr>
              <w:t>, or</w:t>
            </w:r>
            <w:r w:rsidRPr="00396AF7">
              <w:rPr>
                <w:spacing w:val="6"/>
                <w:szCs w:val="24"/>
                <w:bdr w:val="none" w:sz="0" w:space="0" w:color="auto" w:frame="1"/>
              </w:rPr>
              <w:t xml:space="preserve"> VAC</w:t>
            </w:r>
            <w:r w:rsidR="0068182E">
              <w:rPr>
                <w:spacing w:val="6"/>
                <w:szCs w:val="24"/>
                <w:bdr w:val="none" w:sz="0" w:space="0" w:color="auto" w:frame="1"/>
              </w:rPr>
              <w:t>,</w:t>
            </w:r>
            <w:r w:rsidRPr="00396AF7">
              <w:rPr>
                <w:spacing w:val="6"/>
                <w:szCs w:val="24"/>
                <w:bdr w:val="none" w:sz="0" w:space="0" w:color="auto" w:frame="1"/>
              </w:rPr>
              <w:t xml:space="preserve"> and antibiotic use. </w:t>
            </w:r>
            <w:r w:rsidRPr="00396AF7">
              <w:rPr>
                <w:spacing w:val="6"/>
                <w:szCs w:val="24"/>
              </w:rPr>
              <w:t xml:space="preserve">In this study, </w:t>
            </w:r>
            <w:r w:rsidRPr="00396AF7">
              <w:rPr>
                <w:spacing w:val="6"/>
                <w:szCs w:val="24"/>
                <w:bdr w:val="none" w:sz="0" w:space="0" w:color="auto" w:frame="1"/>
              </w:rPr>
              <w:t>352 adult patients were intubated with tracheal tubes</w:t>
            </w:r>
            <w:r w:rsidR="004E4C16">
              <w:rPr>
                <w:spacing w:val="6"/>
                <w:szCs w:val="24"/>
                <w:bdr w:val="none" w:sz="0" w:space="0" w:color="auto" w:frame="1"/>
              </w:rPr>
              <w:t xml:space="preserve"> that</w:t>
            </w:r>
            <w:r w:rsidRPr="00396AF7">
              <w:rPr>
                <w:spacing w:val="6"/>
                <w:szCs w:val="24"/>
                <w:bdr w:val="none" w:sz="0" w:space="0" w:color="auto" w:frame="1"/>
              </w:rPr>
              <w:t xml:space="preserve"> allow</w:t>
            </w:r>
            <w:r w:rsidR="004E4C16">
              <w:rPr>
                <w:spacing w:val="6"/>
                <w:szCs w:val="24"/>
                <w:bdr w:val="none" w:sz="0" w:space="0" w:color="auto" w:frame="1"/>
              </w:rPr>
              <w:t>ed</w:t>
            </w:r>
            <w:r w:rsidRPr="00396AF7">
              <w:rPr>
                <w:spacing w:val="6"/>
                <w:szCs w:val="24"/>
                <w:bdr w:val="none" w:sz="0" w:space="0" w:color="auto" w:frame="1"/>
              </w:rPr>
              <w:t> subglottic secretion suctioning. These adult patients were split into two groups. The first group, compris</w:t>
            </w:r>
            <w:r w:rsidR="0068182E">
              <w:rPr>
                <w:spacing w:val="6"/>
                <w:szCs w:val="24"/>
                <w:bdr w:val="none" w:sz="0" w:space="0" w:color="auto" w:frame="1"/>
              </w:rPr>
              <w:t>ing</w:t>
            </w:r>
            <w:r w:rsidRPr="00396AF7">
              <w:rPr>
                <w:spacing w:val="6"/>
                <w:szCs w:val="24"/>
                <w:bdr w:val="none" w:sz="0" w:space="0" w:color="auto" w:frame="1"/>
              </w:rPr>
              <w:t xml:space="preserve"> 170 patients, actually underwent the suctioning process while the remaining 182 patients of the second group did not.</w:t>
            </w:r>
          </w:p>
        </w:tc>
        <w:tc>
          <w:tcPr>
            <w:tcW w:w="4590" w:type="dxa"/>
          </w:tcPr>
          <w:p w14:paraId="7AD2DFE6" w14:textId="4325FE07" w:rsidR="001536C5" w:rsidRPr="00AD4681" w:rsidRDefault="001536C5" w:rsidP="00FF6593">
            <w:pPr>
              <w:pStyle w:val="TableTitles"/>
            </w:pPr>
            <w:r>
              <w:t>Slide 9</w:t>
            </w:r>
          </w:p>
          <w:p w14:paraId="54BFA979" w14:textId="46217FE9" w:rsidR="001536C5" w:rsidRPr="00AD4681" w:rsidRDefault="00CE41DB" w:rsidP="00283168">
            <w:pPr>
              <w:pStyle w:val="TableTitles"/>
            </w:pPr>
            <w:r w:rsidRPr="00CE41DB">
              <w:rPr>
                <w:noProof/>
                <w:lang w:bidi="ar-SA"/>
              </w:rPr>
              <w:drawing>
                <wp:inline distT="0" distB="0" distL="0" distR="0" wp14:anchorId="43503B6D" wp14:editId="2C7D9D30">
                  <wp:extent cx="2551176" cy="1911096"/>
                  <wp:effectExtent l="19050" t="19050" r="20955"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745C32A5" w14:textId="77777777" w:rsidTr="004E43E1">
        <w:trPr>
          <w:cantSplit/>
        </w:trPr>
        <w:tc>
          <w:tcPr>
            <w:tcW w:w="5670" w:type="dxa"/>
          </w:tcPr>
          <w:p w14:paraId="06E47969" w14:textId="0741116E" w:rsidR="001536C5" w:rsidRPr="00AD4681" w:rsidRDefault="00953905" w:rsidP="00FF6593">
            <w:pPr>
              <w:pStyle w:val="SlideTitle"/>
            </w:pPr>
            <w:r>
              <w:lastRenderedPageBreak/>
              <w:t>Results of Subglottic Suctioning Study</w:t>
            </w:r>
          </w:p>
          <w:p w14:paraId="0612788E" w14:textId="77777777" w:rsidR="001536C5" w:rsidRPr="00AD4681" w:rsidRDefault="001536C5" w:rsidP="00FF6593">
            <w:pPr>
              <w:pStyle w:val="Instructions"/>
              <w:framePr w:wrap="around"/>
            </w:pPr>
            <w:r w:rsidRPr="00AD4681">
              <w:t>SAY:</w:t>
            </w:r>
          </w:p>
          <w:p w14:paraId="1B6BEA1C" w14:textId="0C9099F3" w:rsidR="00A51CE0" w:rsidRPr="00FE3496" w:rsidRDefault="007E382F" w:rsidP="001536C5">
            <w:pPr>
              <w:pStyle w:val="SlideTitle"/>
              <w:spacing w:before="20" w:after="120"/>
              <w:rPr>
                <w:b w:val="0"/>
                <w:sz w:val="24"/>
                <w:szCs w:val="24"/>
              </w:rPr>
            </w:pPr>
            <w:r w:rsidRPr="00FE3496">
              <w:rPr>
                <w:b w:val="0"/>
                <w:sz w:val="24"/>
                <w:szCs w:val="24"/>
              </w:rPr>
              <w:t>After the study was completed, patients in the subglottic suctioning group demonstrated significant improvement through the use of the</w:t>
            </w:r>
            <w:r w:rsidR="00FE1580" w:rsidRPr="00FE3496">
              <w:rPr>
                <w:b w:val="0"/>
                <w:sz w:val="24"/>
                <w:szCs w:val="24"/>
              </w:rPr>
              <w:t xml:space="preserve"> subglottic suctioning</w:t>
            </w:r>
            <w:r w:rsidRPr="00FE3496">
              <w:rPr>
                <w:b w:val="0"/>
                <w:sz w:val="24"/>
                <w:szCs w:val="24"/>
              </w:rPr>
              <w:t xml:space="preserve">. </w:t>
            </w:r>
          </w:p>
          <w:p w14:paraId="107A035A" w14:textId="3CB62595" w:rsidR="00A51CE0" w:rsidRPr="00FE3496" w:rsidRDefault="0068182E" w:rsidP="001536C5">
            <w:pPr>
              <w:pStyle w:val="SlideTitle"/>
              <w:spacing w:before="20" w:after="120"/>
              <w:rPr>
                <w:b w:val="0"/>
                <w:sz w:val="24"/>
                <w:szCs w:val="24"/>
              </w:rPr>
            </w:pPr>
            <w:r>
              <w:rPr>
                <w:b w:val="0"/>
                <w:sz w:val="24"/>
                <w:szCs w:val="24"/>
              </w:rPr>
              <w:t>Of this group, 8.8</w:t>
            </w:r>
            <w:r w:rsidR="007E382F" w:rsidRPr="00FE3496">
              <w:rPr>
                <w:b w:val="0"/>
                <w:sz w:val="24"/>
                <w:szCs w:val="24"/>
              </w:rPr>
              <w:t xml:space="preserve"> percent</w:t>
            </w:r>
            <w:r>
              <w:rPr>
                <w:b w:val="0"/>
                <w:sz w:val="24"/>
                <w:szCs w:val="24"/>
              </w:rPr>
              <w:t>,</w:t>
            </w:r>
            <w:r w:rsidR="007E382F" w:rsidRPr="00FE3496">
              <w:rPr>
                <w:b w:val="0"/>
                <w:sz w:val="24"/>
                <w:szCs w:val="24"/>
              </w:rPr>
              <w:t xml:space="preserve"> or 15 of those 170 patients, developed VAP. However, 17.6 percent of patients in the nonsuction group</w:t>
            </w:r>
            <w:r w:rsidR="00FE1580">
              <w:rPr>
                <w:b w:val="0"/>
                <w:sz w:val="24"/>
                <w:szCs w:val="24"/>
              </w:rPr>
              <w:t>—</w:t>
            </w:r>
            <w:r w:rsidR="007E382F" w:rsidRPr="00FE3496">
              <w:rPr>
                <w:b w:val="0"/>
                <w:sz w:val="24"/>
                <w:szCs w:val="24"/>
              </w:rPr>
              <w:t>32 of those 182 patients</w:t>
            </w:r>
            <w:r w:rsidR="00FE1580">
              <w:rPr>
                <w:b w:val="0"/>
                <w:sz w:val="24"/>
                <w:szCs w:val="24"/>
              </w:rPr>
              <w:t>—</w:t>
            </w:r>
            <w:r w:rsidR="007E382F" w:rsidRPr="00FE3496">
              <w:rPr>
                <w:b w:val="0"/>
                <w:sz w:val="24"/>
                <w:szCs w:val="24"/>
              </w:rPr>
              <w:t xml:space="preserve">developed VAP. This is </w:t>
            </w:r>
            <w:r>
              <w:rPr>
                <w:b w:val="0"/>
                <w:sz w:val="24"/>
                <w:szCs w:val="24"/>
              </w:rPr>
              <w:t>more than</w:t>
            </w:r>
            <w:r w:rsidR="007E382F" w:rsidRPr="00FE3496">
              <w:rPr>
                <w:b w:val="0"/>
                <w:sz w:val="24"/>
                <w:szCs w:val="24"/>
              </w:rPr>
              <w:t xml:space="preserve"> twice the amount of patients who developed VAP after subglottic suctioning. </w:t>
            </w:r>
          </w:p>
          <w:p w14:paraId="3FED3851" w14:textId="4CBC74F0" w:rsidR="00A51CE0" w:rsidRPr="00FE3496" w:rsidRDefault="007E382F" w:rsidP="00A51CE0">
            <w:pPr>
              <w:pStyle w:val="SlideTitle"/>
              <w:spacing w:before="20" w:after="120"/>
              <w:rPr>
                <w:b w:val="0"/>
                <w:sz w:val="24"/>
                <w:szCs w:val="24"/>
              </w:rPr>
            </w:pPr>
            <w:r w:rsidRPr="00FE3496">
              <w:rPr>
                <w:b w:val="0"/>
                <w:sz w:val="24"/>
                <w:szCs w:val="24"/>
              </w:rPr>
              <w:t>Suctioning also cut VAP by vent</w:t>
            </w:r>
            <w:r w:rsidR="0005623A">
              <w:rPr>
                <w:b w:val="0"/>
                <w:sz w:val="24"/>
                <w:szCs w:val="24"/>
              </w:rPr>
              <w:t>ilator</w:t>
            </w:r>
            <w:r w:rsidRPr="00FE3496">
              <w:rPr>
                <w:b w:val="0"/>
                <w:sz w:val="24"/>
                <w:szCs w:val="24"/>
              </w:rPr>
              <w:t xml:space="preserve"> days in half, from 19.8 days for patients </w:t>
            </w:r>
            <w:r w:rsidR="0005623A">
              <w:rPr>
                <w:b w:val="0"/>
                <w:sz w:val="24"/>
                <w:szCs w:val="24"/>
              </w:rPr>
              <w:t>who</w:t>
            </w:r>
            <w:r w:rsidRPr="00FE3496">
              <w:rPr>
                <w:b w:val="0"/>
                <w:sz w:val="24"/>
                <w:szCs w:val="24"/>
              </w:rPr>
              <w:t xml:space="preserve"> did</w:t>
            </w:r>
            <w:r w:rsidR="00A51CE0" w:rsidRPr="00FE3496">
              <w:rPr>
                <w:b w:val="0"/>
                <w:sz w:val="24"/>
                <w:szCs w:val="24"/>
              </w:rPr>
              <w:t xml:space="preserve"> </w:t>
            </w:r>
            <w:r w:rsidRPr="00FE3496">
              <w:rPr>
                <w:b w:val="0"/>
                <w:sz w:val="24"/>
                <w:szCs w:val="24"/>
              </w:rPr>
              <w:t>n</w:t>
            </w:r>
            <w:r w:rsidR="00A51CE0" w:rsidRPr="00FE3496">
              <w:rPr>
                <w:b w:val="0"/>
                <w:sz w:val="24"/>
                <w:szCs w:val="24"/>
              </w:rPr>
              <w:t>o</w:t>
            </w:r>
            <w:r w:rsidRPr="00FE3496">
              <w:rPr>
                <w:b w:val="0"/>
                <w:sz w:val="24"/>
                <w:szCs w:val="24"/>
              </w:rPr>
              <w:t xml:space="preserve">t receive suctioning to 9.6 days for those </w:t>
            </w:r>
            <w:r w:rsidR="0005623A">
              <w:rPr>
                <w:b w:val="0"/>
                <w:sz w:val="24"/>
                <w:szCs w:val="24"/>
              </w:rPr>
              <w:t>who</w:t>
            </w:r>
            <w:r w:rsidRPr="00FE3496">
              <w:rPr>
                <w:b w:val="0"/>
                <w:sz w:val="24"/>
                <w:szCs w:val="24"/>
              </w:rPr>
              <w:t xml:space="preserve"> did. The daily use of antibiotics also significantly decreased for patients in the first group by 269 days less than those in the second group. </w:t>
            </w:r>
          </w:p>
          <w:p w14:paraId="0E6B1E69" w14:textId="2063D373" w:rsidR="001536C5" w:rsidRPr="00A51CE0" w:rsidRDefault="007E382F" w:rsidP="0068182E">
            <w:pPr>
              <w:pStyle w:val="SlideTitle"/>
              <w:spacing w:before="20" w:after="120"/>
              <w:rPr>
                <w:b w:val="0"/>
              </w:rPr>
            </w:pPr>
            <w:r w:rsidRPr="00FE3496">
              <w:rPr>
                <w:b w:val="0"/>
                <w:sz w:val="24"/>
                <w:szCs w:val="24"/>
              </w:rPr>
              <w:t>Overall</w:t>
            </w:r>
            <w:r w:rsidR="00A51CE0" w:rsidRPr="00FE3496">
              <w:rPr>
                <w:b w:val="0"/>
                <w:sz w:val="24"/>
                <w:szCs w:val="24"/>
              </w:rPr>
              <w:t>,</w:t>
            </w:r>
            <w:r w:rsidRPr="00FE3496">
              <w:rPr>
                <w:b w:val="0"/>
                <w:sz w:val="24"/>
                <w:szCs w:val="24"/>
              </w:rPr>
              <w:t xml:space="preserve"> VAC did not u</w:t>
            </w:r>
            <w:r w:rsidR="00A51CE0" w:rsidRPr="00FE3496">
              <w:rPr>
                <w:b w:val="0"/>
                <w:sz w:val="24"/>
                <w:szCs w:val="24"/>
              </w:rPr>
              <w:t>ndergo much change. However, it i</w:t>
            </w:r>
            <w:r w:rsidRPr="00FE3496">
              <w:rPr>
                <w:b w:val="0"/>
                <w:sz w:val="24"/>
                <w:szCs w:val="24"/>
              </w:rPr>
              <w:t>s important to consider that the Centers for Disease Control</w:t>
            </w:r>
            <w:r w:rsidR="0068182E">
              <w:rPr>
                <w:b w:val="0"/>
                <w:sz w:val="24"/>
                <w:szCs w:val="24"/>
              </w:rPr>
              <w:t xml:space="preserve"> and Prevention</w:t>
            </w:r>
            <w:r w:rsidRPr="00FE3496">
              <w:rPr>
                <w:b w:val="0"/>
                <w:sz w:val="24"/>
                <w:szCs w:val="24"/>
              </w:rPr>
              <w:t xml:space="preserve">’s definition of a </w:t>
            </w:r>
            <w:r w:rsidR="0068182E">
              <w:rPr>
                <w:b w:val="0"/>
                <w:sz w:val="24"/>
                <w:szCs w:val="24"/>
              </w:rPr>
              <w:t>VAC</w:t>
            </w:r>
            <w:r w:rsidRPr="00FE3496">
              <w:rPr>
                <w:b w:val="0"/>
                <w:sz w:val="24"/>
                <w:szCs w:val="24"/>
              </w:rPr>
              <w:t xml:space="preserve"> includes conditions that are not necessarily related to infection, such as atelectasis and mucous plugging.</w:t>
            </w:r>
          </w:p>
        </w:tc>
        <w:tc>
          <w:tcPr>
            <w:tcW w:w="4590" w:type="dxa"/>
          </w:tcPr>
          <w:p w14:paraId="7159F7A1" w14:textId="006AFC61" w:rsidR="001536C5" w:rsidRPr="00AD4681" w:rsidRDefault="001536C5" w:rsidP="00FF6593">
            <w:pPr>
              <w:pStyle w:val="TableTitles"/>
            </w:pPr>
            <w:r>
              <w:t>Slide 10</w:t>
            </w:r>
          </w:p>
          <w:p w14:paraId="3E7A4956" w14:textId="51A1C578" w:rsidR="001536C5" w:rsidRPr="00AD4681" w:rsidRDefault="00CE41DB" w:rsidP="00283168">
            <w:pPr>
              <w:pStyle w:val="TableTitles"/>
            </w:pPr>
            <w:r w:rsidRPr="00CE41DB">
              <w:rPr>
                <w:noProof/>
                <w:lang w:bidi="ar-SA"/>
              </w:rPr>
              <w:drawing>
                <wp:inline distT="0" distB="0" distL="0" distR="0" wp14:anchorId="76599974" wp14:editId="4569EF97">
                  <wp:extent cx="2551176" cy="1911096"/>
                  <wp:effectExtent l="19050" t="19050" r="2095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5448B7CB" w14:textId="77777777" w:rsidTr="004E43E1">
        <w:trPr>
          <w:cantSplit/>
        </w:trPr>
        <w:tc>
          <w:tcPr>
            <w:tcW w:w="5670" w:type="dxa"/>
          </w:tcPr>
          <w:p w14:paraId="237DC0A5" w14:textId="4AECBBE6" w:rsidR="001536C5" w:rsidRPr="00AD4681" w:rsidRDefault="00953905" w:rsidP="00FF6593">
            <w:pPr>
              <w:pStyle w:val="SlideTitle"/>
            </w:pPr>
            <w:r>
              <w:t>Impact of Subglottic Secretion Suctioning</w:t>
            </w:r>
          </w:p>
          <w:p w14:paraId="2A5435A9" w14:textId="77777777" w:rsidR="001536C5" w:rsidRPr="00AD4681" w:rsidRDefault="001536C5" w:rsidP="00FF6593">
            <w:pPr>
              <w:pStyle w:val="Instructions"/>
              <w:framePr w:wrap="around"/>
            </w:pPr>
            <w:r w:rsidRPr="00AD4681">
              <w:t>SAY:</w:t>
            </w:r>
          </w:p>
          <w:p w14:paraId="7B81643D" w14:textId="0F8289B8" w:rsidR="001536C5" w:rsidRPr="007E382F" w:rsidRDefault="00DE656E" w:rsidP="00F32FF7">
            <w:pPr>
              <w:shd w:val="clear" w:color="auto" w:fill="FFFFFF"/>
              <w:spacing w:line="270" w:lineRule="atLeast"/>
              <w:textAlignment w:val="center"/>
              <w:rPr>
                <w:rFonts w:cs="Helvetica"/>
                <w:szCs w:val="24"/>
              </w:rPr>
            </w:pPr>
            <w:r w:rsidRPr="00DE656E">
              <w:rPr>
                <w:rFonts w:cs="Helvetica"/>
                <w:szCs w:val="24"/>
              </w:rPr>
              <w:t>SSD-ETTs have demonstrated a significant reduction of VAP prevalence as well as a decrease in the need for antibiotic use.  Among the 47 total patients with VAP, 25 of those patients experienced a VAC. VAC did not significantly differ between groups and most conditions were related to other medical features, rather t</w:t>
            </w:r>
            <w:r w:rsidR="00F32FF7">
              <w:rPr>
                <w:rFonts w:cs="Helvetica"/>
                <w:szCs w:val="24"/>
              </w:rPr>
              <w:t xml:space="preserve">han VAP itself.  Neither ICU length of stay </w:t>
            </w:r>
            <w:r w:rsidRPr="00DE656E">
              <w:rPr>
                <w:rFonts w:cs="Helvetica"/>
                <w:szCs w:val="24"/>
              </w:rPr>
              <w:t>or mortality differed. Only VAC was associated with increased mortality.</w:t>
            </w:r>
          </w:p>
        </w:tc>
        <w:tc>
          <w:tcPr>
            <w:tcW w:w="4590" w:type="dxa"/>
          </w:tcPr>
          <w:p w14:paraId="138AB4DD" w14:textId="4F02ECD2" w:rsidR="001536C5" w:rsidRPr="00AD4681" w:rsidRDefault="001536C5" w:rsidP="00FF6593">
            <w:pPr>
              <w:pStyle w:val="TableTitles"/>
            </w:pPr>
            <w:r>
              <w:t>Slide 11</w:t>
            </w:r>
          </w:p>
          <w:p w14:paraId="2DEF66D5" w14:textId="4400113A" w:rsidR="001536C5" w:rsidRPr="00AD4681" w:rsidRDefault="00CE41DB" w:rsidP="00283168">
            <w:pPr>
              <w:pStyle w:val="TableTitles"/>
            </w:pPr>
            <w:r w:rsidRPr="00CE41DB">
              <w:rPr>
                <w:noProof/>
                <w:lang w:bidi="ar-SA"/>
              </w:rPr>
              <w:drawing>
                <wp:inline distT="0" distB="0" distL="0" distR="0" wp14:anchorId="08778AAA" wp14:editId="68332D43">
                  <wp:extent cx="2551176" cy="1911096"/>
                  <wp:effectExtent l="19050" t="19050" r="20955"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25C0F818" w14:textId="77777777" w:rsidTr="004E43E1">
        <w:trPr>
          <w:cantSplit/>
        </w:trPr>
        <w:tc>
          <w:tcPr>
            <w:tcW w:w="5670" w:type="dxa"/>
          </w:tcPr>
          <w:p w14:paraId="4B492D12" w14:textId="2C78D043" w:rsidR="001536C5" w:rsidRPr="00AD4681" w:rsidRDefault="00E566CF" w:rsidP="00FF6593">
            <w:pPr>
              <w:pStyle w:val="SlideTitle"/>
            </w:pPr>
            <w:r>
              <w:lastRenderedPageBreak/>
              <w:t>Strategy</w:t>
            </w:r>
          </w:p>
          <w:p w14:paraId="5152DA83" w14:textId="77777777" w:rsidR="001536C5" w:rsidRPr="00AD4681" w:rsidRDefault="001536C5" w:rsidP="00FF6593">
            <w:pPr>
              <w:pStyle w:val="Instructions"/>
              <w:framePr w:wrap="around"/>
            </w:pPr>
            <w:r w:rsidRPr="00AD4681">
              <w:t>SAY:</w:t>
            </w:r>
          </w:p>
          <w:p w14:paraId="60AA717B" w14:textId="3A645A68" w:rsidR="001536C5" w:rsidRPr="00A57A93" w:rsidRDefault="00074C6C" w:rsidP="000913FC">
            <w:pPr>
              <w:shd w:val="clear" w:color="auto" w:fill="FFFFFF"/>
              <w:spacing w:line="270" w:lineRule="atLeast"/>
              <w:textAlignment w:val="center"/>
              <w:rPr>
                <w:spacing w:val="6"/>
                <w:szCs w:val="24"/>
              </w:rPr>
            </w:pPr>
            <w:r>
              <w:rPr>
                <w:spacing w:val="6"/>
                <w:szCs w:val="24"/>
                <w:bdr w:val="none" w:sz="0" w:space="0" w:color="auto" w:frame="1"/>
              </w:rPr>
              <w:t>A recommended</w:t>
            </w:r>
            <w:r w:rsidR="00A57A93" w:rsidRPr="00396AF7">
              <w:rPr>
                <w:spacing w:val="6"/>
                <w:szCs w:val="24"/>
                <w:bdr w:val="none" w:sz="0" w:space="0" w:color="auto" w:frame="1"/>
              </w:rPr>
              <w:t xml:space="preserve"> strategy is to identify high</w:t>
            </w:r>
            <w:r w:rsidR="00874544">
              <w:rPr>
                <w:spacing w:val="6"/>
                <w:szCs w:val="24"/>
                <w:bdr w:val="none" w:sz="0" w:space="0" w:color="auto" w:frame="1"/>
              </w:rPr>
              <w:t>-</w:t>
            </w:r>
            <w:r w:rsidR="00A57A93" w:rsidRPr="00396AF7">
              <w:rPr>
                <w:spacing w:val="6"/>
                <w:szCs w:val="24"/>
                <w:bdr w:val="none" w:sz="0" w:space="0" w:color="auto" w:frame="1"/>
              </w:rPr>
              <w:t xml:space="preserve">risk areas and replace standard ETTs with </w:t>
            </w:r>
            <w:r w:rsidR="00FE1580">
              <w:rPr>
                <w:spacing w:val="6"/>
                <w:szCs w:val="24"/>
                <w:bdr w:val="none" w:sz="0" w:space="0" w:color="auto" w:frame="1"/>
              </w:rPr>
              <w:t>SSD-</w:t>
            </w:r>
            <w:r w:rsidR="00A57A93" w:rsidRPr="00396AF7">
              <w:rPr>
                <w:spacing w:val="6"/>
                <w:szCs w:val="24"/>
                <w:bdr w:val="none" w:sz="0" w:space="0" w:color="auto" w:frame="1"/>
              </w:rPr>
              <w:t>ETTs for patients in the e</w:t>
            </w:r>
            <w:r w:rsidR="00A57A93" w:rsidRPr="00396AF7">
              <w:rPr>
                <w:spacing w:val="-12"/>
                <w:szCs w:val="24"/>
                <w:bdr w:val="none" w:sz="0" w:space="0" w:color="auto" w:frame="1"/>
              </w:rPr>
              <w:t xml:space="preserve">mergency room, </w:t>
            </w:r>
            <w:r w:rsidR="00A57A93" w:rsidRPr="00396AF7">
              <w:rPr>
                <w:szCs w:val="24"/>
                <w:bdr w:val="none" w:sz="0" w:space="0" w:color="auto" w:frame="1"/>
              </w:rPr>
              <w:t xml:space="preserve">the </w:t>
            </w:r>
            <w:r w:rsidR="00A57A93" w:rsidRPr="00396AF7">
              <w:rPr>
                <w:spacing w:val="-12"/>
                <w:szCs w:val="24"/>
                <w:bdr w:val="none" w:sz="0" w:space="0" w:color="auto" w:frame="1"/>
              </w:rPr>
              <w:t xml:space="preserve">ICU with the exception of brief procedures, </w:t>
            </w:r>
            <w:r w:rsidR="000913FC">
              <w:rPr>
                <w:spacing w:val="-12"/>
                <w:szCs w:val="24"/>
                <w:bdr w:val="none" w:sz="0" w:space="0" w:color="auto" w:frame="1"/>
              </w:rPr>
              <w:t>emergent intubations outside of the ICU</w:t>
            </w:r>
            <w:r w:rsidR="00A57A93" w:rsidRPr="00396AF7">
              <w:rPr>
                <w:spacing w:val="-12"/>
                <w:szCs w:val="24"/>
                <w:bdr w:val="none" w:sz="0" w:space="0" w:color="auto" w:frame="1"/>
              </w:rPr>
              <w:t>, and patients involved in</w:t>
            </w:r>
            <w:r w:rsidR="00A57A93" w:rsidRPr="00396AF7">
              <w:rPr>
                <w:szCs w:val="24"/>
                <w:bdr w:val="none" w:sz="0" w:space="0" w:color="auto" w:frame="1"/>
              </w:rPr>
              <w:t> </w:t>
            </w:r>
            <w:r w:rsidR="00A57A93" w:rsidRPr="00396AF7">
              <w:rPr>
                <w:spacing w:val="-12"/>
                <w:szCs w:val="24"/>
                <w:bdr w:val="none" w:sz="0" w:space="0" w:color="auto" w:frame="1"/>
              </w:rPr>
              <w:t>high</w:t>
            </w:r>
            <w:r w:rsidR="0005623A">
              <w:rPr>
                <w:spacing w:val="-12"/>
                <w:szCs w:val="24"/>
                <w:bdr w:val="none" w:sz="0" w:space="0" w:color="auto" w:frame="1"/>
              </w:rPr>
              <w:t>-</w:t>
            </w:r>
            <w:r w:rsidR="00A57A93" w:rsidRPr="00396AF7">
              <w:rPr>
                <w:spacing w:val="-12"/>
                <w:szCs w:val="24"/>
                <w:bdr w:val="none" w:sz="0" w:space="0" w:color="auto" w:frame="1"/>
              </w:rPr>
              <w:t xml:space="preserve">risk surgical procedures </w:t>
            </w:r>
            <w:r w:rsidR="00E064B8">
              <w:rPr>
                <w:szCs w:val="24"/>
                <w:bdr w:val="none" w:sz="0" w:space="0" w:color="auto" w:frame="1"/>
              </w:rPr>
              <w:t>such as</w:t>
            </w:r>
            <w:r w:rsidR="00A57A93" w:rsidRPr="00396AF7">
              <w:rPr>
                <w:szCs w:val="24"/>
                <w:bdr w:val="none" w:sz="0" w:space="0" w:color="auto" w:frame="1"/>
              </w:rPr>
              <w:t> thoracic aortic aneurysm</w:t>
            </w:r>
            <w:r w:rsidR="00E064B8">
              <w:rPr>
                <w:szCs w:val="24"/>
                <w:bdr w:val="none" w:sz="0" w:space="0" w:color="auto" w:frame="1"/>
              </w:rPr>
              <w:t xml:space="preserve"> repair</w:t>
            </w:r>
            <w:r w:rsidR="00A57A93" w:rsidRPr="00396AF7">
              <w:rPr>
                <w:szCs w:val="24"/>
                <w:bdr w:val="none" w:sz="0" w:space="0" w:color="auto" w:frame="1"/>
              </w:rPr>
              <w:t>, l</w:t>
            </w:r>
            <w:r w:rsidR="00A57A93" w:rsidRPr="00396AF7">
              <w:rPr>
                <w:spacing w:val="-12"/>
                <w:szCs w:val="24"/>
                <w:bdr w:val="none" w:sz="0" w:space="0" w:color="auto" w:frame="1"/>
              </w:rPr>
              <w:t>iver transplants, as well as those with an</w:t>
            </w:r>
            <w:r w:rsidR="00A57A93" w:rsidRPr="00396AF7">
              <w:rPr>
                <w:szCs w:val="24"/>
                <w:bdr w:val="none" w:sz="0" w:space="0" w:color="auto" w:frame="1"/>
              </w:rPr>
              <w:t> </w:t>
            </w:r>
            <w:r w:rsidR="00A57A93" w:rsidRPr="00396AF7">
              <w:rPr>
                <w:spacing w:val="-12"/>
                <w:szCs w:val="24"/>
                <w:bdr w:val="none" w:sz="0" w:space="0" w:color="auto" w:frame="1"/>
              </w:rPr>
              <w:t>anticipated postoperative open abdomen.</w:t>
            </w:r>
          </w:p>
        </w:tc>
        <w:tc>
          <w:tcPr>
            <w:tcW w:w="4590" w:type="dxa"/>
          </w:tcPr>
          <w:p w14:paraId="75C048E3" w14:textId="5618000D" w:rsidR="001536C5" w:rsidRPr="00AD4681" w:rsidRDefault="001536C5" w:rsidP="00FF6593">
            <w:pPr>
              <w:pStyle w:val="TableTitles"/>
            </w:pPr>
            <w:r w:rsidRPr="00AD4681">
              <w:t xml:space="preserve">Slide </w:t>
            </w:r>
            <w:r>
              <w:t>12</w:t>
            </w:r>
          </w:p>
          <w:p w14:paraId="05D05E5E" w14:textId="441A6777" w:rsidR="001536C5" w:rsidRPr="00AD4681" w:rsidRDefault="00CE41DB" w:rsidP="00283168">
            <w:pPr>
              <w:pStyle w:val="TableTitles"/>
            </w:pPr>
            <w:r w:rsidRPr="00CE41DB">
              <w:rPr>
                <w:noProof/>
                <w:lang w:bidi="ar-SA"/>
              </w:rPr>
              <w:drawing>
                <wp:inline distT="0" distB="0" distL="0" distR="0" wp14:anchorId="086F72D5" wp14:editId="06DD6A00">
                  <wp:extent cx="2551176" cy="1911096"/>
                  <wp:effectExtent l="19050" t="19050" r="20955"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74D6E005" w14:textId="77777777" w:rsidTr="004E43E1">
        <w:trPr>
          <w:cantSplit/>
        </w:trPr>
        <w:tc>
          <w:tcPr>
            <w:tcW w:w="5670" w:type="dxa"/>
          </w:tcPr>
          <w:p w14:paraId="6CB91117" w14:textId="62E34090" w:rsidR="001536C5" w:rsidRPr="00AD4681" w:rsidRDefault="00E566CF" w:rsidP="00FF6593">
            <w:pPr>
              <w:pStyle w:val="SlideTitle"/>
            </w:pPr>
            <w:r>
              <w:t>Resources—Fast Facts</w:t>
            </w:r>
          </w:p>
          <w:p w14:paraId="12D19D76" w14:textId="77777777" w:rsidR="001536C5" w:rsidRPr="00AD4681" w:rsidRDefault="001536C5" w:rsidP="00FF6593">
            <w:pPr>
              <w:pStyle w:val="Instructions"/>
              <w:framePr w:wrap="around"/>
            </w:pPr>
            <w:r w:rsidRPr="00AD4681">
              <w:t>SAY:</w:t>
            </w:r>
          </w:p>
          <w:p w14:paraId="43B650A3" w14:textId="4AAD6040" w:rsidR="001536C5" w:rsidRPr="00A57A93" w:rsidRDefault="004625BA" w:rsidP="004625BA">
            <w:pPr>
              <w:rPr>
                <w:szCs w:val="24"/>
              </w:rPr>
            </w:pPr>
            <w:r>
              <w:rPr>
                <w:rStyle w:val="tx2"/>
                <w:rFonts w:cs="Helvetica"/>
                <w:szCs w:val="24"/>
                <w:bdr w:val="none" w:sz="0" w:space="0" w:color="auto" w:frame="1"/>
              </w:rPr>
              <w:t xml:space="preserve">The AHRQ Safety Program for Mechanically Ventilated Patients provides many tangible resources you can use to educate and reinforce SSD-ETT protocols. </w:t>
            </w:r>
            <w:r>
              <w:rPr>
                <w:rStyle w:val="tx2"/>
                <w:spacing w:val="6"/>
                <w:szCs w:val="24"/>
                <w:bdr w:val="none" w:sz="0" w:space="0" w:color="auto" w:frame="1"/>
              </w:rPr>
              <w:t>A</w:t>
            </w:r>
            <w:r w:rsidRPr="00396AF7">
              <w:rPr>
                <w:rStyle w:val="tx2"/>
                <w:spacing w:val="6"/>
                <w:szCs w:val="24"/>
                <w:bdr w:val="none" w:sz="0" w:space="0" w:color="auto" w:frame="1"/>
              </w:rPr>
              <w:t xml:space="preserve"> </w:t>
            </w:r>
            <w:r w:rsidR="003B6B66" w:rsidRPr="003B6B66">
              <w:rPr>
                <w:rStyle w:val="tx2"/>
                <w:spacing w:val="6"/>
                <w:szCs w:val="24"/>
                <w:bdr w:val="none" w:sz="0" w:space="0" w:color="auto" w:frame="1"/>
              </w:rPr>
              <w:t>Fast Facts</w:t>
            </w:r>
            <w:r>
              <w:rPr>
                <w:rStyle w:val="tx2"/>
                <w:spacing w:val="6"/>
                <w:szCs w:val="24"/>
                <w:bdr w:val="none" w:sz="0" w:space="0" w:color="auto" w:frame="1"/>
              </w:rPr>
              <w:t xml:space="preserve"> guide</w:t>
            </w:r>
            <w:r w:rsidR="003B6B66" w:rsidRPr="003B6B66">
              <w:rPr>
                <w:rStyle w:val="tx2"/>
                <w:spacing w:val="6"/>
                <w:szCs w:val="24"/>
                <w:bdr w:val="none" w:sz="0" w:space="0" w:color="auto" w:frame="1"/>
              </w:rPr>
              <w:t xml:space="preserve"> for </w:t>
            </w:r>
            <w:r w:rsidR="00E064B8">
              <w:rPr>
                <w:rStyle w:val="tx2"/>
                <w:spacing w:val="6"/>
                <w:szCs w:val="24"/>
                <w:bdr w:val="none" w:sz="0" w:space="0" w:color="auto" w:frame="1"/>
              </w:rPr>
              <w:t>SSD-</w:t>
            </w:r>
            <w:r w:rsidR="003B6B66" w:rsidRPr="003B6B66">
              <w:rPr>
                <w:rStyle w:val="tx2"/>
                <w:spacing w:val="6"/>
                <w:szCs w:val="24"/>
                <w:bdr w:val="none" w:sz="0" w:space="0" w:color="auto" w:frame="1"/>
              </w:rPr>
              <w:t xml:space="preserve">ETTs </w:t>
            </w:r>
            <w:r>
              <w:rPr>
                <w:rStyle w:val="tx2"/>
                <w:spacing w:val="6"/>
                <w:szCs w:val="24"/>
                <w:bdr w:val="none" w:sz="0" w:space="0" w:color="auto" w:frame="1"/>
              </w:rPr>
              <w:t>is</w:t>
            </w:r>
            <w:r w:rsidRPr="00396AF7">
              <w:rPr>
                <w:rStyle w:val="tx2"/>
                <w:spacing w:val="6"/>
                <w:szCs w:val="24"/>
                <w:bdr w:val="none" w:sz="0" w:space="0" w:color="auto" w:frame="1"/>
              </w:rPr>
              <w:t xml:space="preserve"> </w:t>
            </w:r>
            <w:r w:rsidR="00A57A93" w:rsidRPr="00396AF7">
              <w:rPr>
                <w:rStyle w:val="tx2"/>
                <w:spacing w:val="6"/>
                <w:szCs w:val="24"/>
                <w:bdr w:val="none" w:sz="0" w:space="0" w:color="auto" w:frame="1"/>
              </w:rPr>
              <w:t xml:space="preserve">ready to be posted in your unit. </w:t>
            </w:r>
            <w:r>
              <w:rPr>
                <w:rStyle w:val="tx2"/>
                <w:spacing w:val="6"/>
                <w:szCs w:val="24"/>
                <w:bdr w:val="none" w:sz="0" w:space="0" w:color="auto" w:frame="1"/>
              </w:rPr>
              <w:t>It</w:t>
            </w:r>
            <w:r w:rsidRPr="00396AF7">
              <w:rPr>
                <w:rStyle w:val="tx2"/>
                <w:spacing w:val="6"/>
                <w:szCs w:val="24"/>
                <w:bdr w:val="none" w:sz="0" w:space="0" w:color="auto" w:frame="1"/>
              </w:rPr>
              <w:t xml:space="preserve"> </w:t>
            </w:r>
            <w:r w:rsidR="00A57A93" w:rsidRPr="00396AF7">
              <w:rPr>
                <w:spacing w:val="6"/>
                <w:szCs w:val="24"/>
              </w:rPr>
              <w:t>p</w:t>
            </w:r>
            <w:r w:rsidR="00A57A93" w:rsidRPr="00396AF7">
              <w:rPr>
                <w:rStyle w:val="tx2"/>
                <w:spacing w:val="6"/>
                <w:szCs w:val="24"/>
                <w:bdr w:val="none" w:sz="0" w:space="0" w:color="auto" w:frame="1"/>
              </w:rPr>
              <w:t>rovide</w:t>
            </w:r>
            <w:r>
              <w:rPr>
                <w:rStyle w:val="tx2"/>
                <w:spacing w:val="6"/>
                <w:szCs w:val="24"/>
                <w:bdr w:val="none" w:sz="0" w:space="0" w:color="auto" w:frame="1"/>
              </w:rPr>
              <w:t>s</w:t>
            </w:r>
            <w:r w:rsidR="00A57A93" w:rsidRPr="00396AF7">
              <w:rPr>
                <w:rStyle w:val="tx2"/>
                <w:spacing w:val="6"/>
                <w:szCs w:val="24"/>
                <w:bdr w:val="none" w:sz="0" w:space="0" w:color="auto" w:frame="1"/>
              </w:rPr>
              <w:t xml:space="preserve"> a quick </w:t>
            </w:r>
            <w:r w:rsidR="00A57A93" w:rsidRPr="00396AF7">
              <w:rPr>
                <w:rStyle w:val="tx2"/>
                <w:spacing w:val="-9"/>
                <w:szCs w:val="24"/>
                <w:bdr w:val="none" w:sz="0" w:space="0" w:color="auto" w:frame="1"/>
              </w:rPr>
              <w:t xml:space="preserve">reference to the latest </w:t>
            </w:r>
            <w:r w:rsidR="00A57A93" w:rsidRPr="00396AF7">
              <w:rPr>
                <w:rStyle w:val="tx2"/>
                <w:spacing w:val="6"/>
                <w:szCs w:val="24"/>
                <w:bdr w:val="none" w:sz="0" w:space="0" w:color="auto" w:frame="1"/>
              </w:rPr>
              <w:t>evidence-based protocols as well as</w:t>
            </w:r>
            <w:r w:rsidR="00A57A93" w:rsidRPr="00396AF7">
              <w:rPr>
                <w:spacing w:val="6"/>
                <w:szCs w:val="24"/>
              </w:rPr>
              <w:t xml:space="preserve"> s</w:t>
            </w:r>
            <w:r w:rsidR="00A57A93" w:rsidRPr="00396AF7">
              <w:rPr>
                <w:rStyle w:val="tx2"/>
                <w:spacing w:val="6"/>
                <w:szCs w:val="24"/>
                <w:bdr w:val="none" w:sz="0" w:space="0" w:color="auto" w:frame="1"/>
              </w:rPr>
              <w:t>ummarize</w:t>
            </w:r>
            <w:r w:rsidR="00B6728B">
              <w:rPr>
                <w:rStyle w:val="tx2"/>
                <w:spacing w:val="6"/>
                <w:szCs w:val="24"/>
                <w:bdr w:val="none" w:sz="0" w:space="0" w:color="auto" w:frame="1"/>
              </w:rPr>
              <w:t>s</w:t>
            </w:r>
            <w:r w:rsidR="00A57A93" w:rsidRPr="00396AF7">
              <w:rPr>
                <w:rStyle w:val="tx2"/>
                <w:spacing w:val="6"/>
                <w:szCs w:val="24"/>
                <w:bdr w:val="none" w:sz="0" w:space="0" w:color="auto" w:frame="1"/>
              </w:rPr>
              <w:t xml:space="preserve"> the position of four important leaders in the </w:t>
            </w:r>
            <w:r w:rsidR="00A57A93" w:rsidRPr="00396AF7">
              <w:rPr>
                <w:rStyle w:val="tx2"/>
                <w:spacing w:val="3"/>
                <w:szCs w:val="24"/>
                <w:bdr w:val="none" w:sz="0" w:space="0" w:color="auto" w:frame="1"/>
              </w:rPr>
              <w:t>VAP field.</w:t>
            </w:r>
            <w:r w:rsidR="003B6B66">
              <w:rPr>
                <w:rStyle w:val="tx2"/>
                <w:spacing w:val="3"/>
                <w:szCs w:val="24"/>
                <w:bdr w:val="none" w:sz="0" w:space="0" w:color="auto" w:frame="1"/>
              </w:rPr>
              <w:t xml:space="preserve"> This document can be found on the AHRQ </w:t>
            </w:r>
            <w:r w:rsidR="00874544">
              <w:rPr>
                <w:rStyle w:val="tx2"/>
                <w:spacing w:val="3"/>
                <w:szCs w:val="24"/>
                <w:bdr w:val="none" w:sz="0" w:space="0" w:color="auto" w:frame="1"/>
              </w:rPr>
              <w:t>W</w:t>
            </w:r>
            <w:r w:rsidR="003B6B66">
              <w:rPr>
                <w:rStyle w:val="tx2"/>
                <w:spacing w:val="3"/>
                <w:szCs w:val="24"/>
                <w:bdr w:val="none" w:sz="0" w:space="0" w:color="auto" w:frame="1"/>
              </w:rPr>
              <w:t>eb</w:t>
            </w:r>
            <w:r w:rsidR="00874544">
              <w:rPr>
                <w:rStyle w:val="tx2"/>
                <w:spacing w:val="3"/>
                <w:szCs w:val="24"/>
                <w:bdr w:val="none" w:sz="0" w:space="0" w:color="auto" w:frame="1"/>
              </w:rPr>
              <w:t xml:space="preserve"> </w:t>
            </w:r>
            <w:r w:rsidR="003B6B66">
              <w:rPr>
                <w:rStyle w:val="tx2"/>
                <w:spacing w:val="3"/>
                <w:szCs w:val="24"/>
                <w:bdr w:val="none" w:sz="0" w:space="0" w:color="auto" w:frame="1"/>
              </w:rPr>
              <w:t>site.</w:t>
            </w:r>
          </w:p>
        </w:tc>
        <w:tc>
          <w:tcPr>
            <w:tcW w:w="4590" w:type="dxa"/>
          </w:tcPr>
          <w:p w14:paraId="2637B216" w14:textId="71C6E822" w:rsidR="001536C5" w:rsidRPr="00AD4681" w:rsidRDefault="001536C5" w:rsidP="00FF6593">
            <w:pPr>
              <w:pStyle w:val="TableTitles"/>
            </w:pPr>
            <w:r w:rsidRPr="00AD4681">
              <w:t xml:space="preserve">Slide </w:t>
            </w:r>
            <w:r>
              <w:t>1</w:t>
            </w:r>
            <w:r w:rsidRPr="00AD4681">
              <w:t>3</w:t>
            </w:r>
          </w:p>
          <w:p w14:paraId="44406105" w14:textId="4CE9A195" w:rsidR="001536C5" w:rsidRPr="00AD4681" w:rsidRDefault="00C94B70" w:rsidP="00283168">
            <w:pPr>
              <w:pStyle w:val="TableTitles"/>
            </w:pPr>
            <w:r w:rsidRPr="00C94B70">
              <w:rPr>
                <w:noProof/>
                <w:lang w:bidi="ar-SA"/>
              </w:rPr>
              <w:drawing>
                <wp:inline distT="0" distB="0" distL="0" distR="0" wp14:anchorId="39E8B71B" wp14:editId="0D2F6DD9">
                  <wp:extent cx="2551176" cy="1911096"/>
                  <wp:effectExtent l="19050" t="19050" r="20955"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279853CF" w14:textId="77777777" w:rsidTr="004E43E1">
        <w:trPr>
          <w:cantSplit/>
        </w:trPr>
        <w:tc>
          <w:tcPr>
            <w:tcW w:w="5670" w:type="dxa"/>
          </w:tcPr>
          <w:p w14:paraId="41B7B59B" w14:textId="32A86262" w:rsidR="001536C5" w:rsidRPr="00AD4681" w:rsidRDefault="00E566CF" w:rsidP="00FF6593">
            <w:pPr>
              <w:pStyle w:val="SlideTitle"/>
            </w:pPr>
            <w:r>
              <w:t>Resources—Literature Synopsis</w:t>
            </w:r>
          </w:p>
          <w:p w14:paraId="3FBEDD51" w14:textId="77777777" w:rsidR="001536C5" w:rsidRPr="00AD4681" w:rsidRDefault="001536C5" w:rsidP="00FF6593">
            <w:pPr>
              <w:pStyle w:val="Instructions"/>
              <w:framePr w:wrap="around"/>
            </w:pPr>
            <w:r w:rsidRPr="00AD4681">
              <w:t>SAY:</w:t>
            </w:r>
          </w:p>
          <w:p w14:paraId="5ED0B62C" w14:textId="09D82734" w:rsidR="001536C5" w:rsidRPr="00A57A93" w:rsidRDefault="003B6B66" w:rsidP="0005623A">
            <w:pPr>
              <w:rPr>
                <w:szCs w:val="24"/>
              </w:rPr>
            </w:pPr>
            <w:r w:rsidRPr="003B6B66">
              <w:rPr>
                <w:spacing w:val="-9"/>
                <w:szCs w:val="24"/>
                <w:bdr w:val="none" w:sz="0" w:space="0" w:color="auto" w:frame="1"/>
              </w:rPr>
              <w:t xml:space="preserve">The </w:t>
            </w:r>
            <w:r w:rsidR="00E064B8">
              <w:rPr>
                <w:spacing w:val="-9"/>
                <w:szCs w:val="24"/>
                <w:bdr w:val="none" w:sz="0" w:space="0" w:color="auto" w:frame="1"/>
              </w:rPr>
              <w:t>SSD-</w:t>
            </w:r>
            <w:r w:rsidR="00FE3496">
              <w:rPr>
                <w:spacing w:val="-9"/>
                <w:szCs w:val="24"/>
                <w:bdr w:val="none" w:sz="0" w:space="0" w:color="auto" w:frame="1"/>
              </w:rPr>
              <w:t>ETT</w:t>
            </w:r>
            <w:r w:rsidRPr="003B6B66">
              <w:rPr>
                <w:spacing w:val="-9"/>
                <w:szCs w:val="24"/>
                <w:bdr w:val="none" w:sz="0" w:space="0" w:color="auto" w:frame="1"/>
              </w:rPr>
              <w:t xml:space="preserve"> Literature Synopsis</w:t>
            </w:r>
            <w:r>
              <w:rPr>
                <w:spacing w:val="-9"/>
                <w:szCs w:val="24"/>
                <w:bdr w:val="none" w:sz="0" w:space="0" w:color="auto" w:frame="1"/>
              </w:rPr>
              <w:t xml:space="preserve"> </w:t>
            </w:r>
            <w:r w:rsidR="004625BA">
              <w:rPr>
                <w:spacing w:val="-9"/>
                <w:szCs w:val="24"/>
                <w:bdr w:val="none" w:sz="0" w:space="0" w:color="auto" w:frame="1"/>
              </w:rPr>
              <w:t xml:space="preserve">is also available on the AHRQ Web </w:t>
            </w:r>
            <w:r w:rsidR="0005623A">
              <w:rPr>
                <w:spacing w:val="-9"/>
                <w:szCs w:val="24"/>
                <w:bdr w:val="none" w:sz="0" w:space="0" w:color="auto" w:frame="1"/>
              </w:rPr>
              <w:t>s</w:t>
            </w:r>
            <w:r w:rsidR="004625BA">
              <w:rPr>
                <w:spacing w:val="-9"/>
                <w:szCs w:val="24"/>
                <w:bdr w:val="none" w:sz="0" w:space="0" w:color="auto" w:frame="1"/>
              </w:rPr>
              <w:t xml:space="preserve">ite and </w:t>
            </w:r>
            <w:r>
              <w:rPr>
                <w:spacing w:val="-9"/>
                <w:szCs w:val="24"/>
                <w:bdr w:val="none" w:sz="0" w:space="0" w:color="auto" w:frame="1"/>
              </w:rPr>
              <w:t xml:space="preserve">provides an </w:t>
            </w:r>
            <w:r w:rsidR="00A57A93" w:rsidRPr="00396AF7">
              <w:rPr>
                <w:rStyle w:val="tx2"/>
                <w:spacing w:val="-9"/>
                <w:szCs w:val="24"/>
                <w:bdr w:val="none" w:sz="0" w:space="0" w:color="auto" w:frame="1"/>
              </w:rPr>
              <w:t xml:space="preserve">overview of the current literature regarding </w:t>
            </w:r>
            <w:r w:rsidR="00A57A93" w:rsidRPr="00396AF7">
              <w:rPr>
                <w:rStyle w:val="tx2"/>
                <w:spacing w:val="6"/>
                <w:szCs w:val="24"/>
                <w:bdr w:val="none" w:sz="0" w:space="0" w:color="auto" w:frame="1"/>
              </w:rPr>
              <w:t>subglottic suctioning and endotracheal tubes</w:t>
            </w:r>
            <w:r w:rsidR="00A57A93" w:rsidRPr="00396AF7">
              <w:rPr>
                <w:spacing w:val="6"/>
                <w:szCs w:val="24"/>
              </w:rPr>
              <w:t>, i</w:t>
            </w:r>
            <w:r w:rsidR="00A57A93" w:rsidRPr="00396AF7">
              <w:rPr>
                <w:rStyle w:val="tx2"/>
                <w:spacing w:val="6"/>
                <w:szCs w:val="24"/>
                <w:bdr w:val="none" w:sz="0" w:space="0" w:color="auto" w:frame="1"/>
              </w:rPr>
              <w:t>ncluding both positive and negative findings.</w:t>
            </w:r>
            <w:r>
              <w:rPr>
                <w:rStyle w:val="tx2"/>
                <w:spacing w:val="6"/>
                <w:szCs w:val="24"/>
                <w:bdr w:val="none" w:sz="0" w:space="0" w:color="auto" w:frame="1"/>
              </w:rPr>
              <w:t xml:space="preserve"> </w:t>
            </w:r>
          </w:p>
        </w:tc>
        <w:tc>
          <w:tcPr>
            <w:tcW w:w="4590" w:type="dxa"/>
          </w:tcPr>
          <w:p w14:paraId="7F5C0BCA" w14:textId="6499B1B3" w:rsidR="001536C5" w:rsidRPr="00AD4681" w:rsidRDefault="001536C5" w:rsidP="00FF6593">
            <w:pPr>
              <w:pStyle w:val="TableTitles"/>
            </w:pPr>
            <w:r w:rsidRPr="00AD4681">
              <w:t xml:space="preserve">Slide </w:t>
            </w:r>
            <w:r>
              <w:t>14</w:t>
            </w:r>
          </w:p>
          <w:p w14:paraId="07E998D2" w14:textId="4EB605B9" w:rsidR="001536C5" w:rsidRPr="00AD4681" w:rsidRDefault="00C94B70" w:rsidP="00283168">
            <w:pPr>
              <w:pStyle w:val="TableTitles"/>
            </w:pPr>
            <w:r w:rsidRPr="00C94B70">
              <w:rPr>
                <w:noProof/>
                <w:lang w:bidi="ar-SA"/>
              </w:rPr>
              <w:drawing>
                <wp:inline distT="0" distB="0" distL="0" distR="0" wp14:anchorId="38065789" wp14:editId="7F79FAD2">
                  <wp:extent cx="2551176" cy="1911096"/>
                  <wp:effectExtent l="19050" t="19050" r="20955"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536C5" w:rsidRPr="00AD4681" w14:paraId="44D97642" w14:textId="77777777" w:rsidTr="004E43E1">
        <w:trPr>
          <w:cantSplit/>
        </w:trPr>
        <w:tc>
          <w:tcPr>
            <w:tcW w:w="5670" w:type="dxa"/>
          </w:tcPr>
          <w:p w14:paraId="093D3B73" w14:textId="2242BD37" w:rsidR="001536C5" w:rsidRPr="00AD4681" w:rsidRDefault="00953905" w:rsidP="00FF6593">
            <w:pPr>
              <w:pStyle w:val="SlideTitle"/>
            </w:pPr>
            <w:r>
              <w:lastRenderedPageBreak/>
              <w:t>Questions?</w:t>
            </w:r>
          </w:p>
          <w:p w14:paraId="5625933D" w14:textId="7561B7AD" w:rsidR="001536C5" w:rsidRPr="001536C5" w:rsidRDefault="001536C5" w:rsidP="001536C5">
            <w:pPr>
              <w:pStyle w:val="SlideTitle"/>
              <w:spacing w:before="20" w:after="120"/>
              <w:rPr>
                <w:b w:val="0"/>
              </w:rPr>
            </w:pPr>
          </w:p>
        </w:tc>
        <w:tc>
          <w:tcPr>
            <w:tcW w:w="4590" w:type="dxa"/>
          </w:tcPr>
          <w:p w14:paraId="4D7EF3AF" w14:textId="6127B7EB" w:rsidR="001536C5" w:rsidRPr="00AD4681" w:rsidRDefault="001536C5" w:rsidP="00FF6593">
            <w:pPr>
              <w:pStyle w:val="TableTitles"/>
            </w:pPr>
            <w:r w:rsidRPr="00AD4681">
              <w:t xml:space="preserve">Slide </w:t>
            </w:r>
            <w:r>
              <w:t>15</w:t>
            </w:r>
          </w:p>
          <w:p w14:paraId="7A8E6C30" w14:textId="082F37D8" w:rsidR="001536C5" w:rsidRPr="00AD4681" w:rsidRDefault="00115CED" w:rsidP="00283168">
            <w:pPr>
              <w:pStyle w:val="TableTitles"/>
            </w:pPr>
            <w:r w:rsidRPr="00115CED">
              <w:rPr>
                <w:noProof/>
                <w:lang w:bidi="ar-SA"/>
              </w:rPr>
              <w:drawing>
                <wp:inline distT="0" distB="0" distL="0" distR="0" wp14:anchorId="167E127E" wp14:editId="154A8769">
                  <wp:extent cx="2548128" cy="1911096"/>
                  <wp:effectExtent l="19050" t="19050" r="2413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7695D3F1" w14:textId="77777777" w:rsidTr="004E43E1">
        <w:trPr>
          <w:cantSplit/>
        </w:trPr>
        <w:tc>
          <w:tcPr>
            <w:tcW w:w="5670" w:type="dxa"/>
          </w:tcPr>
          <w:p w14:paraId="1A575459" w14:textId="54509520" w:rsidR="001536C5" w:rsidRPr="00AD4681" w:rsidRDefault="00953905" w:rsidP="00FF6593">
            <w:pPr>
              <w:pStyle w:val="SlideTitle"/>
            </w:pPr>
            <w:r>
              <w:t xml:space="preserve">References </w:t>
            </w:r>
          </w:p>
          <w:p w14:paraId="15888720" w14:textId="3275CCD6" w:rsidR="001536C5" w:rsidRPr="001536C5" w:rsidRDefault="001536C5" w:rsidP="001536C5">
            <w:pPr>
              <w:pStyle w:val="SlideTitle"/>
              <w:spacing w:before="20" w:after="120"/>
              <w:rPr>
                <w:b w:val="0"/>
              </w:rPr>
            </w:pPr>
          </w:p>
        </w:tc>
        <w:tc>
          <w:tcPr>
            <w:tcW w:w="4590" w:type="dxa"/>
          </w:tcPr>
          <w:p w14:paraId="0ABD6F40" w14:textId="46628B5A" w:rsidR="001536C5" w:rsidRPr="00AD4681" w:rsidRDefault="001536C5" w:rsidP="00FF6593">
            <w:pPr>
              <w:pStyle w:val="TableTitles"/>
            </w:pPr>
            <w:r w:rsidRPr="00AD4681">
              <w:t xml:space="preserve">Slide </w:t>
            </w:r>
            <w:r>
              <w:t>16</w:t>
            </w:r>
          </w:p>
          <w:p w14:paraId="31B48D19" w14:textId="0C6EBEF1" w:rsidR="001536C5" w:rsidRPr="00AD4681" w:rsidRDefault="00115CED" w:rsidP="00283168">
            <w:pPr>
              <w:pStyle w:val="TableTitles"/>
            </w:pPr>
            <w:r w:rsidRPr="00115CED">
              <w:rPr>
                <w:noProof/>
                <w:lang w:bidi="ar-SA"/>
              </w:rPr>
              <w:drawing>
                <wp:inline distT="0" distB="0" distL="0" distR="0" wp14:anchorId="0F9FC8A5" wp14:editId="4A83EE38">
                  <wp:extent cx="2548128" cy="1911096"/>
                  <wp:effectExtent l="19050" t="19050" r="2413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r w:rsidR="001536C5" w:rsidRPr="00AD4681" w14:paraId="5AFC650E" w14:textId="77777777" w:rsidTr="004E43E1">
        <w:trPr>
          <w:cantSplit/>
        </w:trPr>
        <w:tc>
          <w:tcPr>
            <w:tcW w:w="5670" w:type="dxa"/>
          </w:tcPr>
          <w:p w14:paraId="1B1CB94B" w14:textId="77777777" w:rsidR="00953905" w:rsidRPr="00AD4681" w:rsidRDefault="00953905" w:rsidP="00953905">
            <w:pPr>
              <w:pStyle w:val="SlideTitle"/>
            </w:pPr>
            <w:r>
              <w:t xml:space="preserve">References </w:t>
            </w:r>
          </w:p>
          <w:p w14:paraId="21AE0AA2" w14:textId="15F2B52A" w:rsidR="001536C5" w:rsidRPr="001536C5" w:rsidRDefault="001536C5" w:rsidP="001536C5">
            <w:pPr>
              <w:pStyle w:val="SlideTitle"/>
              <w:spacing w:before="20" w:after="120"/>
              <w:rPr>
                <w:b w:val="0"/>
              </w:rPr>
            </w:pPr>
          </w:p>
        </w:tc>
        <w:tc>
          <w:tcPr>
            <w:tcW w:w="4590" w:type="dxa"/>
          </w:tcPr>
          <w:p w14:paraId="670B9754" w14:textId="14AB837F" w:rsidR="001536C5" w:rsidRPr="00AD4681" w:rsidRDefault="001536C5" w:rsidP="00FF6593">
            <w:pPr>
              <w:pStyle w:val="TableTitles"/>
            </w:pPr>
            <w:r w:rsidRPr="00AD4681">
              <w:t xml:space="preserve">Slide </w:t>
            </w:r>
            <w:r>
              <w:t>17</w:t>
            </w:r>
          </w:p>
          <w:p w14:paraId="2CDAA518" w14:textId="12170D3B" w:rsidR="001536C5" w:rsidRPr="00AD4681" w:rsidRDefault="00443304" w:rsidP="00283168">
            <w:pPr>
              <w:pStyle w:val="TableTitles"/>
            </w:pPr>
            <w:r w:rsidRPr="00443304">
              <w:rPr>
                <w:noProof/>
                <w:lang w:bidi="ar-SA"/>
              </w:rPr>
              <w:drawing>
                <wp:inline distT="0" distB="0" distL="0" distR="0" wp14:anchorId="19633D3E" wp14:editId="3BFD12C3">
                  <wp:extent cx="2551176" cy="1911096"/>
                  <wp:effectExtent l="19050" t="19050" r="20955"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51176" cy="1911096"/>
                          </a:xfrm>
                          <a:prstGeom prst="rect">
                            <a:avLst/>
                          </a:prstGeom>
                          <a:ln>
                            <a:solidFill>
                              <a:schemeClr val="bg1">
                                <a:lumMod val="75000"/>
                              </a:schemeClr>
                            </a:solidFill>
                          </a:ln>
                        </pic:spPr>
                      </pic:pic>
                    </a:graphicData>
                  </a:graphic>
                </wp:inline>
              </w:drawing>
            </w:r>
          </w:p>
        </w:tc>
      </w:tr>
      <w:tr w:rsidR="00115CED" w:rsidRPr="00AD4681" w14:paraId="7DCA545D" w14:textId="77777777" w:rsidTr="004E43E1">
        <w:trPr>
          <w:cantSplit/>
        </w:trPr>
        <w:tc>
          <w:tcPr>
            <w:tcW w:w="5670" w:type="dxa"/>
          </w:tcPr>
          <w:p w14:paraId="069150E4" w14:textId="77777777" w:rsidR="00953905" w:rsidRPr="00AD4681" w:rsidRDefault="00953905" w:rsidP="00953905">
            <w:pPr>
              <w:pStyle w:val="SlideTitle"/>
            </w:pPr>
            <w:r>
              <w:lastRenderedPageBreak/>
              <w:t xml:space="preserve">References </w:t>
            </w:r>
          </w:p>
          <w:p w14:paraId="45180583" w14:textId="37FD2C17" w:rsidR="00115CED" w:rsidRDefault="00115CED" w:rsidP="00FF6593">
            <w:pPr>
              <w:pStyle w:val="SlideTitle"/>
            </w:pPr>
          </w:p>
        </w:tc>
        <w:tc>
          <w:tcPr>
            <w:tcW w:w="4590" w:type="dxa"/>
          </w:tcPr>
          <w:p w14:paraId="7B92B419" w14:textId="0E4514CB" w:rsidR="00115CED" w:rsidRPr="00AD4681" w:rsidRDefault="00115CED" w:rsidP="00072776">
            <w:pPr>
              <w:pStyle w:val="TableTitles"/>
            </w:pPr>
            <w:r w:rsidRPr="00AD4681">
              <w:t xml:space="preserve">Slide </w:t>
            </w:r>
            <w:r>
              <w:t>18</w:t>
            </w:r>
          </w:p>
          <w:p w14:paraId="45984636" w14:textId="4162D891" w:rsidR="00115CED" w:rsidRPr="00AD4681" w:rsidRDefault="00443304" w:rsidP="00FF6593">
            <w:pPr>
              <w:pStyle w:val="TableTitles"/>
            </w:pPr>
            <w:r w:rsidRPr="00443304">
              <w:rPr>
                <w:noProof/>
                <w:lang w:bidi="ar-SA"/>
              </w:rPr>
              <w:drawing>
                <wp:inline distT="0" distB="0" distL="0" distR="0" wp14:anchorId="081B0553" wp14:editId="5CBB672C">
                  <wp:extent cx="2548128" cy="1911096"/>
                  <wp:effectExtent l="19050" t="19050" r="2413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48128" cy="1911096"/>
                          </a:xfrm>
                          <a:prstGeom prst="rect">
                            <a:avLst/>
                          </a:prstGeom>
                          <a:ln>
                            <a:solidFill>
                              <a:schemeClr val="bg1">
                                <a:lumMod val="75000"/>
                              </a:schemeClr>
                            </a:solidFill>
                          </a:ln>
                        </pic:spPr>
                      </pic:pic>
                    </a:graphicData>
                  </a:graphic>
                </wp:inline>
              </w:drawing>
            </w:r>
          </w:p>
        </w:tc>
      </w:tr>
    </w:tbl>
    <w:p w14:paraId="7E55798D" w14:textId="77777777" w:rsidR="00EA6D3D" w:rsidRPr="00315286" w:rsidRDefault="00EA6D3D" w:rsidP="004577E8"/>
    <w:sectPr w:rsidR="00EA6D3D" w:rsidRPr="00315286" w:rsidSect="00C55356">
      <w:headerReference w:type="default" r:id="rId31"/>
      <w:footerReference w:type="default" r:id="rId32"/>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7DC58F" w15:done="0"/>
  <w15:commentEx w15:paraId="03852230" w15:paraIdParent="487DC58F" w15:done="0"/>
  <w15:commentEx w15:paraId="2C2B61B0" w15:done="0"/>
  <w15:commentEx w15:paraId="0BA24E69" w15:paraIdParent="2C2B61B0" w15:done="0"/>
  <w15:commentEx w15:paraId="0CF82954" w15:done="0"/>
  <w15:commentEx w15:paraId="61EA81C3" w15:paraIdParent="0CF82954" w15:done="0"/>
  <w15:commentEx w15:paraId="2CCB219A" w15:done="0"/>
  <w15:commentEx w15:paraId="0B7FF814" w15:paraIdParent="2CCB219A" w15:done="0"/>
  <w15:commentEx w15:paraId="0F593338" w15:done="0"/>
  <w15:commentEx w15:paraId="44CD569F" w15:paraIdParent="0F593338" w15:done="0"/>
  <w15:commentEx w15:paraId="4011B0D7" w15:done="0"/>
  <w15:commentEx w15:paraId="4DD9ABCC" w15:paraIdParent="4011B0D7" w15:done="0"/>
  <w15:commentEx w15:paraId="35BCAD93" w15:done="0"/>
  <w15:commentEx w15:paraId="78B5783E" w15:paraIdParent="35BCAD93" w15:done="0"/>
  <w15:commentEx w15:paraId="489B3C9D" w15:done="0"/>
  <w15:commentEx w15:paraId="7802009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81F62" w14:textId="77777777" w:rsidR="00001B98" w:rsidRDefault="00001B98" w:rsidP="004577E8">
      <w:r>
        <w:separator/>
      </w:r>
    </w:p>
  </w:endnote>
  <w:endnote w:type="continuationSeparator" w:id="0">
    <w:p w14:paraId="7F1F0D58" w14:textId="77777777" w:rsidR="00001B98" w:rsidRDefault="00001B98"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74FDE909" w:rsidR="00B26141" w:rsidRDefault="00427A75" w:rsidP="004577E8">
    <w:pPr>
      <w:pStyle w:val="Footer"/>
    </w:pPr>
    <w:r>
      <w:rPr>
        <w:noProof/>
      </w:rPr>
      <w:drawing>
        <wp:anchor distT="0" distB="0" distL="114300" distR="114300" simplePos="0" relativeHeight="251665408" behindDoc="1" locked="0" layoutInCell="1" allowOverlap="1" wp14:anchorId="4B269084" wp14:editId="059C336E">
          <wp:simplePos x="0" y="0"/>
          <wp:positionH relativeFrom="column">
            <wp:posOffset>-923925</wp:posOffset>
          </wp:positionH>
          <wp:positionV relativeFrom="paragraph">
            <wp:posOffset>-100965</wp:posOffset>
          </wp:positionV>
          <wp:extent cx="7772400" cy="7105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24D6C1C7" w:rsidR="00B26141" w:rsidRPr="00ED6328" w:rsidRDefault="00B26141" w:rsidP="00236CB1">
    <w:pPr>
      <w:pStyle w:val="Footer"/>
      <w:ind w:right="360"/>
      <w:rPr>
        <w:rStyle w:val="PageNumber"/>
        <w:color w:val="FFFFFF" w:themeColor="background1"/>
      </w:rPr>
    </w:pPr>
  </w:p>
  <w:p w14:paraId="2A7C9F19" w14:textId="3BABB875" w:rsidR="00B5242A" w:rsidRPr="00B5242A" w:rsidRDefault="00B5242A" w:rsidP="004577E8">
    <w:pPr>
      <w:pStyle w:val="Footer"/>
      <w:rPr>
        <w:rStyle w:val="PageNumber"/>
        <w:color w:val="FFFFFF" w:themeColor="background1"/>
      </w:rPr>
    </w:pPr>
  </w:p>
  <w:p w14:paraId="34A97209" w14:textId="77777777" w:rsidR="00236CB1" w:rsidRPr="00236CB1" w:rsidRDefault="00236CB1" w:rsidP="00F238D6">
    <w:pPr>
      <w:pStyle w:val="Footer"/>
      <w:framePr w:wrap="none" w:vAnchor="text" w:hAnchor="page" w:x="11536" w:y="435"/>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8F266F">
      <w:rPr>
        <w:rStyle w:val="PageNumber"/>
        <w:noProof/>
        <w:color w:val="FFFFFF" w:themeColor="background1"/>
        <w:sz w:val="20"/>
      </w:rPr>
      <w:t>8</w:t>
    </w:r>
    <w:r w:rsidRPr="00236CB1">
      <w:rPr>
        <w:rStyle w:val="PageNumber"/>
        <w:color w:val="FFFFFF" w:themeColor="background1"/>
        <w:sz w:val="20"/>
      </w:rPr>
      <w:fldChar w:fldCharType="end"/>
    </w:r>
  </w:p>
  <w:p w14:paraId="0350C081" w14:textId="0C45630B" w:rsidR="00B26141" w:rsidRDefault="00427A75" w:rsidP="004577E8">
    <w:pPr>
      <w:pStyle w:val="Footer"/>
    </w:pPr>
    <w:r w:rsidRPr="00B5242A">
      <w:rPr>
        <w:noProof/>
      </w:rPr>
      <mc:AlternateContent>
        <mc:Choice Requires="wps">
          <w:drawing>
            <wp:anchor distT="0" distB="0" distL="114300" distR="114300" simplePos="0" relativeHeight="251669504" behindDoc="0" locked="0" layoutInCell="1" allowOverlap="1" wp14:anchorId="50B3B94A" wp14:editId="70BDCDCC">
              <wp:simplePos x="0" y="0"/>
              <wp:positionH relativeFrom="column">
                <wp:posOffset>5187950</wp:posOffset>
              </wp:positionH>
              <wp:positionV relativeFrom="paragraph">
                <wp:posOffset>229235</wp:posOffset>
              </wp:positionV>
              <wp:extent cx="92075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20750" cy="34290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98C2A" w14:textId="7EE68D7C" w:rsidR="00B26141" w:rsidRPr="004577E8" w:rsidRDefault="0066623F" w:rsidP="004577E8">
                          <w:pPr>
                            <w:pStyle w:val="FooterWhite"/>
                          </w:pPr>
                          <w:r>
                            <w:t>SSD-ETT Benefits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08.5pt;margin-top:18.05pt;width:72.5pt;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l2qgIAAKcFAAAOAAAAZHJzL2Uyb0RvYy54bWysVN9P2zAQfp+0/8Hye0napUAjUhSKOk1C&#10;gFYmnl3HptEcn2WbJt3E/76z05SO7YVpL8n57vP57rsfF5ddo8hWWFeDLuj4JKVEaA5VrZ8K+u1h&#10;OTqnxHmmK6ZAi4LuhKOX848fLlqTiwlsQFXCEnSiXd6agm68N3mSOL4RDXMnYIRGowTbMI9H+5RU&#10;lrXovVHJJE1PkxZsZSxw4Rxqr3sjnUf/Ugru76R0whNVUIzNx6+N33X4JvMLlj9ZZjY134fB/iGK&#10;htUaHz24umaekWdb/+GqqbkFB9KfcGgSkLLmIuaA2YzTN9msNsyImAuS48yBJvf/3PLb7b0ldVXQ&#10;jBLNGizRg+g8uYKOZIGd1rgcQSuDMN+hGqs86B0qQ9KdtE34YzoE7cjz7sBtcMZROZukZ1O0cDR9&#10;yiazNHKfvF421vnPAhoShIJaLF1klG1vnMdAEDpAwlsalrVSsXxK/6ZAYK8Rsf79bZZjICgGZAgp&#10;1ubnYno2Kc+ms9FpOR2PsnF6PirLdDK6XpZpmWbLxSy7egnZos/hfhIY6TOPkt8pEbwq/VVIZDIS&#10;EBSxh8VCWbJl2H2Mc6F95C5GiOiAkpjFey7u8TGPmN97LveMDC+D9ofLTa3BRr7fhF19H0KWPR7J&#10;OMo7iL5bd7GFDo2xhmqH/WKhnzdn+LLGqt4w5++ZxQHDRsCl4e/wIxW0BYW9RMkG7I+/6QMe+x6t&#10;lLQ4sAXVuFEoUV80zsNsnGVhvuMhw7LiwR5b1scW/dwsAGsyxuVkeBQD3qtBlBaaR9wsZXgTTUxz&#10;fLmgfhAXvl8iuJm4KMsIwok2zN/oleHBdShR6NiH7pFZs29rj210C8Ngs/xNd/fYcFND+exB1rH1&#10;A8s9p3v2cRvEptxvrrBujs8R9bpf578AAAD//wMAUEsDBBQABgAIAAAAIQCc4vfs4QAAAAkBAAAP&#10;AAAAZHJzL2Rvd25yZXYueG1sTI9BT8MwDIXvSPyHyEhcEEvTSWWUphMCwYVpiMGBY9qYttA4VZN1&#10;hV8/c4Kb7ff0/L1iPbteTDiGzpMGtUhAINXedtRoeHt9uFyBCNGQNb0n1PCNAdbl6UlhcusP9ILT&#10;LjaCQyjkRkMb45BLGeoWnQkLPyCx9uFHZyKvYyPtaA4c7nqZJkkmnemIP7RmwLsW66/d3mn4eR43&#10;Pk03j6p6X3ZTvL/43D5ttT4/m29vQESc458ZfvEZHUpmqvyebBC9hpW64i5RwzJTINhwnaV8qHhI&#10;FMiykP8blEcAAAD//wMAUEsBAi0AFAAGAAgAAAAhALaDOJL+AAAA4QEAABMAAAAAAAAAAAAAAAAA&#10;AAAAAFtDb250ZW50X1R5cGVzXS54bWxQSwECLQAUAAYACAAAACEAOP0h/9YAAACUAQAACwAAAAAA&#10;AAAAAAAAAAAvAQAAX3JlbHMvLnJlbHNQSwECLQAUAAYACAAAACEApgF5dqoCAACnBQAADgAAAAAA&#10;AAAAAAAAAAAuAgAAZHJzL2Uyb0RvYy54bWxQSwECLQAUAAYACAAAACEAnOL37OEAAAAJAQAADwAA&#10;AAAAAAAAAAAAAAAEBQAAZHJzL2Rvd25yZXYueG1sUEsFBgAAAAAEAAQA8wAAABIGAAAAAA==&#10;" filled="f" stroked="f">
              <v:textbox>
                <w:txbxContent>
                  <w:p w14:paraId="42198C2A" w14:textId="7EE68D7C" w:rsidR="00B26141" w:rsidRPr="004577E8" w:rsidRDefault="0066623F" w:rsidP="004577E8">
                    <w:pPr>
                      <w:pStyle w:val="FooterWhite"/>
                    </w:pPr>
                    <w:r>
                      <w:t>SSD-ETT Benefits</w:t>
                    </w:r>
                  </w:p>
                </w:txbxContent>
              </v:textbox>
            </v:shape>
          </w:pict>
        </mc:Fallback>
      </mc:AlternateContent>
    </w:r>
    <w:r w:rsidR="00B5242A" w:rsidRPr="00B5242A">
      <w:rPr>
        <w:noProof/>
      </w:rPr>
      <w:drawing>
        <wp:anchor distT="0" distB="0" distL="114300" distR="114300" simplePos="0" relativeHeight="251667456" behindDoc="1" locked="0" layoutInCell="1" allowOverlap="1" wp14:anchorId="066D9EA0" wp14:editId="2A90194A">
          <wp:simplePos x="0" y="0"/>
          <wp:positionH relativeFrom="column">
            <wp:posOffset>-849630</wp:posOffset>
          </wp:positionH>
          <wp:positionV relativeFrom="paragraph">
            <wp:posOffset>53975</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42A" w:rsidRPr="00B5242A">
      <w:t>AHRQ Safety Program for Mechanically Ventilated Patient</w:t>
    </w:r>
    <w:r w:rsidR="00B5242A">
      <w: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D9064" w14:textId="77777777" w:rsidR="00001B98" w:rsidRDefault="00001B98" w:rsidP="004577E8">
      <w:r>
        <w:separator/>
      </w:r>
    </w:p>
  </w:footnote>
  <w:footnote w:type="continuationSeparator" w:id="0">
    <w:p w14:paraId="1E8BDD74" w14:textId="77777777" w:rsidR="00001B98" w:rsidRDefault="00001B98"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8F266F" w:rsidP="004577E8">
    <w:pPr>
      <w:pStyle w:val="Header"/>
    </w:pPr>
    <w:sdt>
      <w:sdtPr>
        <w:id w:val="1445202115"/>
        <w:placeholder>
          <w:docPart w:val="206AD539B482874AA0F94E5F962842FF"/>
        </w:placeholder>
        <w:temporary/>
        <w:showingPlcHdr/>
      </w:sdtPr>
      <w:sdtEndPr/>
      <w:sdtContent>
        <w:r w:rsidR="00B26141">
          <w:t>[Type text]</w:t>
        </w:r>
      </w:sdtContent>
    </w:sdt>
    <w:r w:rsidR="00B26141">
      <w:ptab w:relativeTo="margin" w:alignment="center" w:leader="none"/>
    </w:r>
    <w:sdt>
      <w:sdtPr>
        <w:id w:val="1921366525"/>
        <w:placeholder>
          <w:docPart w:val="198E9F7423A39F4F900DECAE813632DE"/>
        </w:placeholder>
        <w:temporary/>
        <w:showingPlcHdr/>
      </w:sdtPr>
      <w:sdtEndPr/>
      <w:sdtContent>
        <w:r w:rsidR="00B26141">
          <w:t>[Type text]</w:t>
        </w:r>
      </w:sdtContent>
    </w:sdt>
    <w:r w:rsidR="00B26141">
      <w:ptab w:relativeTo="margin" w:alignment="right" w:leader="none"/>
    </w:r>
    <w:sdt>
      <w:sdtPr>
        <w:id w:val="-1910768991"/>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6336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6244AFB" w14:textId="042A8114" w:rsidR="00B5242A" w:rsidRDefault="0066623F" w:rsidP="004577E8">
    <w:pPr>
      <w:pStyle w:val="Title"/>
    </w:pPr>
    <w:r>
      <w:t>Benefits of Subglottic</w:t>
    </w:r>
    <w:r w:rsidR="00D4269A">
      <w:t xml:space="preserve"> Secretion Drainage</w:t>
    </w:r>
    <w:r w:rsidR="00020E76">
      <w:t xml:space="preserve"> Endotracheal Tubes</w:t>
    </w:r>
  </w:p>
  <w:p w14:paraId="6DA67CEF" w14:textId="59FDFE49" w:rsidR="00020E76" w:rsidRPr="00020E76" w:rsidRDefault="00020E76" w:rsidP="00020E76">
    <w:pPr>
      <w:jc w:val="center"/>
      <w:rPr>
        <w:sz w:val="36"/>
        <w:szCs w:val="36"/>
      </w:rPr>
    </w:pPr>
    <w:r>
      <w:rPr>
        <w:sz w:val="36"/>
        <w:szCs w:val="36"/>
      </w:rPr>
      <w:t>Facilitator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5">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18B7D14"/>
    <w:multiLevelType w:val="hybridMultilevel"/>
    <w:tmpl w:val="74E61604"/>
    <w:lvl w:ilvl="0" w:tplc="F320D378">
      <w:start w:val="1"/>
      <w:numFmt w:val="bullet"/>
      <w:pStyle w:val="ListParagraph"/>
      <w:lvlText w:val="•"/>
      <w:lvlJc w:val="left"/>
      <w:pPr>
        <w:tabs>
          <w:tab w:val="num" w:pos="360"/>
        </w:tabs>
        <w:ind w:left="360" w:hanging="360"/>
      </w:pPr>
      <w:rPr>
        <w:rFonts w:ascii="Arial" w:hAnsi="Arial" w:hint="default"/>
      </w:rPr>
    </w:lvl>
    <w:lvl w:ilvl="1" w:tplc="EBC68856" w:tentative="1">
      <w:start w:val="1"/>
      <w:numFmt w:val="bullet"/>
      <w:lvlText w:val="•"/>
      <w:lvlJc w:val="left"/>
      <w:pPr>
        <w:tabs>
          <w:tab w:val="num" w:pos="1080"/>
        </w:tabs>
        <w:ind w:left="1080" w:hanging="360"/>
      </w:pPr>
      <w:rPr>
        <w:rFonts w:ascii="Arial" w:hAnsi="Arial" w:hint="default"/>
      </w:rPr>
    </w:lvl>
    <w:lvl w:ilvl="2" w:tplc="F030FDF4" w:tentative="1">
      <w:start w:val="1"/>
      <w:numFmt w:val="bullet"/>
      <w:lvlText w:val="•"/>
      <w:lvlJc w:val="left"/>
      <w:pPr>
        <w:tabs>
          <w:tab w:val="num" w:pos="1800"/>
        </w:tabs>
        <w:ind w:left="1800" w:hanging="360"/>
      </w:pPr>
      <w:rPr>
        <w:rFonts w:ascii="Arial" w:hAnsi="Arial" w:hint="default"/>
      </w:rPr>
    </w:lvl>
    <w:lvl w:ilvl="3" w:tplc="1A2EA1A2" w:tentative="1">
      <w:start w:val="1"/>
      <w:numFmt w:val="bullet"/>
      <w:lvlText w:val="•"/>
      <w:lvlJc w:val="left"/>
      <w:pPr>
        <w:tabs>
          <w:tab w:val="num" w:pos="2520"/>
        </w:tabs>
        <w:ind w:left="2520" w:hanging="360"/>
      </w:pPr>
      <w:rPr>
        <w:rFonts w:ascii="Arial" w:hAnsi="Arial" w:hint="default"/>
      </w:rPr>
    </w:lvl>
    <w:lvl w:ilvl="4" w:tplc="54D29570" w:tentative="1">
      <w:start w:val="1"/>
      <w:numFmt w:val="bullet"/>
      <w:lvlText w:val="•"/>
      <w:lvlJc w:val="left"/>
      <w:pPr>
        <w:tabs>
          <w:tab w:val="num" w:pos="3240"/>
        </w:tabs>
        <w:ind w:left="3240" w:hanging="360"/>
      </w:pPr>
      <w:rPr>
        <w:rFonts w:ascii="Arial" w:hAnsi="Arial" w:hint="default"/>
      </w:rPr>
    </w:lvl>
    <w:lvl w:ilvl="5" w:tplc="8FA663C4" w:tentative="1">
      <w:start w:val="1"/>
      <w:numFmt w:val="bullet"/>
      <w:lvlText w:val="•"/>
      <w:lvlJc w:val="left"/>
      <w:pPr>
        <w:tabs>
          <w:tab w:val="num" w:pos="3960"/>
        </w:tabs>
        <w:ind w:left="3960" w:hanging="360"/>
      </w:pPr>
      <w:rPr>
        <w:rFonts w:ascii="Arial" w:hAnsi="Arial" w:hint="default"/>
      </w:rPr>
    </w:lvl>
    <w:lvl w:ilvl="6" w:tplc="BE7C4D98" w:tentative="1">
      <w:start w:val="1"/>
      <w:numFmt w:val="bullet"/>
      <w:lvlText w:val="•"/>
      <w:lvlJc w:val="left"/>
      <w:pPr>
        <w:tabs>
          <w:tab w:val="num" w:pos="4680"/>
        </w:tabs>
        <w:ind w:left="4680" w:hanging="360"/>
      </w:pPr>
      <w:rPr>
        <w:rFonts w:ascii="Arial" w:hAnsi="Arial" w:hint="default"/>
      </w:rPr>
    </w:lvl>
    <w:lvl w:ilvl="7" w:tplc="12BE5384" w:tentative="1">
      <w:start w:val="1"/>
      <w:numFmt w:val="bullet"/>
      <w:lvlText w:val="•"/>
      <w:lvlJc w:val="left"/>
      <w:pPr>
        <w:tabs>
          <w:tab w:val="num" w:pos="5400"/>
        </w:tabs>
        <w:ind w:left="5400" w:hanging="360"/>
      </w:pPr>
      <w:rPr>
        <w:rFonts w:ascii="Arial" w:hAnsi="Arial" w:hint="default"/>
      </w:rPr>
    </w:lvl>
    <w:lvl w:ilvl="8" w:tplc="82E4C82C" w:tentative="1">
      <w:start w:val="1"/>
      <w:numFmt w:val="bullet"/>
      <w:lvlText w:val="•"/>
      <w:lvlJc w:val="left"/>
      <w:pPr>
        <w:tabs>
          <w:tab w:val="num" w:pos="6120"/>
        </w:tabs>
        <w:ind w:left="6120" w:hanging="360"/>
      </w:pPr>
      <w:rPr>
        <w:rFonts w:ascii="Arial" w:hAnsi="Arial" w:hint="default"/>
      </w:rPr>
    </w:lvl>
  </w:abstractNum>
  <w:abstractNum w:abstractNumId="16">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19">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9"/>
  </w:num>
  <w:num w:numId="3">
    <w:abstractNumId w:val="6"/>
  </w:num>
  <w:num w:numId="4">
    <w:abstractNumId w:val="11"/>
  </w:num>
  <w:num w:numId="5">
    <w:abstractNumId w:val="10"/>
  </w:num>
  <w:num w:numId="6">
    <w:abstractNumId w:val="22"/>
  </w:num>
  <w:num w:numId="7">
    <w:abstractNumId w:val="17"/>
  </w:num>
  <w:num w:numId="8">
    <w:abstractNumId w:val="8"/>
  </w:num>
  <w:num w:numId="9">
    <w:abstractNumId w:val="21"/>
  </w:num>
  <w:num w:numId="10">
    <w:abstractNumId w:val="20"/>
  </w:num>
  <w:num w:numId="11">
    <w:abstractNumId w:val="3"/>
  </w:num>
  <w:num w:numId="12">
    <w:abstractNumId w:val="9"/>
  </w:num>
  <w:num w:numId="13">
    <w:abstractNumId w:val="16"/>
  </w:num>
  <w:num w:numId="14">
    <w:abstractNumId w:val="5"/>
  </w:num>
  <w:num w:numId="15">
    <w:abstractNumId w:val="7"/>
  </w:num>
  <w:num w:numId="16">
    <w:abstractNumId w:val="13"/>
  </w:num>
  <w:num w:numId="17">
    <w:abstractNumId w:val="14"/>
  </w:num>
  <w:num w:numId="18">
    <w:abstractNumId w:val="12"/>
  </w:num>
  <w:num w:numId="19">
    <w:abstractNumId w:val="4"/>
  </w:num>
  <w:num w:numId="20">
    <w:abstractNumId w:val="18"/>
  </w:num>
  <w:num w:numId="21">
    <w:abstractNumId w:val="0"/>
  </w:num>
  <w:num w:numId="22">
    <w:abstractNumId w:val="15"/>
  </w:num>
  <w:num w:numId="23">
    <w:abstractNumId w:val="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Kirkley">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01B98"/>
    <w:rsid w:val="00012351"/>
    <w:rsid w:val="00020E76"/>
    <w:rsid w:val="00022C2A"/>
    <w:rsid w:val="0003278F"/>
    <w:rsid w:val="00033B3C"/>
    <w:rsid w:val="000436DB"/>
    <w:rsid w:val="0005623A"/>
    <w:rsid w:val="00074C6C"/>
    <w:rsid w:val="00087FEE"/>
    <w:rsid w:val="000913FC"/>
    <w:rsid w:val="000A7CA1"/>
    <w:rsid w:val="000E48E1"/>
    <w:rsid w:val="001113EF"/>
    <w:rsid w:val="00115CED"/>
    <w:rsid w:val="00136E75"/>
    <w:rsid w:val="00147A61"/>
    <w:rsid w:val="001536C5"/>
    <w:rsid w:val="00174D22"/>
    <w:rsid w:val="00181C0B"/>
    <w:rsid w:val="00183A8C"/>
    <w:rsid w:val="001865C9"/>
    <w:rsid w:val="001968B6"/>
    <w:rsid w:val="001B2008"/>
    <w:rsid w:val="001B2202"/>
    <w:rsid w:val="001E1B33"/>
    <w:rsid w:val="001E7BB9"/>
    <w:rsid w:val="001F08B9"/>
    <w:rsid w:val="0021313C"/>
    <w:rsid w:val="002171F5"/>
    <w:rsid w:val="002258C2"/>
    <w:rsid w:val="00231776"/>
    <w:rsid w:val="00236CB1"/>
    <w:rsid w:val="00250185"/>
    <w:rsid w:val="00272E5C"/>
    <w:rsid w:val="00283168"/>
    <w:rsid w:val="002A6B25"/>
    <w:rsid w:val="002C5095"/>
    <w:rsid w:val="002F334A"/>
    <w:rsid w:val="003058D1"/>
    <w:rsid w:val="00315286"/>
    <w:rsid w:val="0032233D"/>
    <w:rsid w:val="00332E74"/>
    <w:rsid w:val="003B53F1"/>
    <w:rsid w:val="003B6521"/>
    <w:rsid w:val="003B6B66"/>
    <w:rsid w:val="003D69F2"/>
    <w:rsid w:val="003E1E2D"/>
    <w:rsid w:val="00427A75"/>
    <w:rsid w:val="00443304"/>
    <w:rsid w:val="004546DD"/>
    <w:rsid w:val="004577E8"/>
    <w:rsid w:val="004625BA"/>
    <w:rsid w:val="00480875"/>
    <w:rsid w:val="00487823"/>
    <w:rsid w:val="00490499"/>
    <w:rsid w:val="004952D1"/>
    <w:rsid w:val="004A4EAC"/>
    <w:rsid w:val="004D3038"/>
    <w:rsid w:val="004E4C16"/>
    <w:rsid w:val="004F521F"/>
    <w:rsid w:val="005172DA"/>
    <w:rsid w:val="00517336"/>
    <w:rsid w:val="005254DA"/>
    <w:rsid w:val="00544C85"/>
    <w:rsid w:val="005450A5"/>
    <w:rsid w:val="00553191"/>
    <w:rsid w:val="00573E00"/>
    <w:rsid w:val="005E7846"/>
    <w:rsid w:val="00631A39"/>
    <w:rsid w:val="0066623F"/>
    <w:rsid w:val="00674423"/>
    <w:rsid w:val="0068182E"/>
    <w:rsid w:val="0077092C"/>
    <w:rsid w:val="00781562"/>
    <w:rsid w:val="00795907"/>
    <w:rsid w:val="007A0A1D"/>
    <w:rsid w:val="007C185A"/>
    <w:rsid w:val="007D13A4"/>
    <w:rsid w:val="007E382F"/>
    <w:rsid w:val="007F28C0"/>
    <w:rsid w:val="00800527"/>
    <w:rsid w:val="00813D7D"/>
    <w:rsid w:val="00827BD2"/>
    <w:rsid w:val="0083687A"/>
    <w:rsid w:val="00846022"/>
    <w:rsid w:val="0085663E"/>
    <w:rsid w:val="00865DC6"/>
    <w:rsid w:val="00871FCD"/>
    <w:rsid w:val="00874544"/>
    <w:rsid w:val="00882746"/>
    <w:rsid w:val="008F0FF9"/>
    <w:rsid w:val="008F266F"/>
    <w:rsid w:val="00932235"/>
    <w:rsid w:val="009364DE"/>
    <w:rsid w:val="00953905"/>
    <w:rsid w:val="00961451"/>
    <w:rsid w:val="009653D9"/>
    <w:rsid w:val="00992B32"/>
    <w:rsid w:val="009A242D"/>
    <w:rsid w:val="009B1488"/>
    <w:rsid w:val="009D0579"/>
    <w:rsid w:val="009E18A1"/>
    <w:rsid w:val="00A008EA"/>
    <w:rsid w:val="00A06668"/>
    <w:rsid w:val="00A17F90"/>
    <w:rsid w:val="00A27654"/>
    <w:rsid w:val="00A51CE0"/>
    <w:rsid w:val="00A5732F"/>
    <w:rsid w:val="00A57A93"/>
    <w:rsid w:val="00A718BC"/>
    <w:rsid w:val="00A9426A"/>
    <w:rsid w:val="00AB520A"/>
    <w:rsid w:val="00B03315"/>
    <w:rsid w:val="00B10614"/>
    <w:rsid w:val="00B17BEA"/>
    <w:rsid w:val="00B26141"/>
    <w:rsid w:val="00B31850"/>
    <w:rsid w:val="00B50B69"/>
    <w:rsid w:val="00B5242A"/>
    <w:rsid w:val="00B6728B"/>
    <w:rsid w:val="00B81506"/>
    <w:rsid w:val="00B90A17"/>
    <w:rsid w:val="00B9714B"/>
    <w:rsid w:val="00BB0988"/>
    <w:rsid w:val="00BB6F8A"/>
    <w:rsid w:val="00BB7A4F"/>
    <w:rsid w:val="00BC2206"/>
    <w:rsid w:val="00BD38C0"/>
    <w:rsid w:val="00BD6FA8"/>
    <w:rsid w:val="00C076A2"/>
    <w:rsid w:val="00C0795F"/>
    <w:rsid w:val="00C111DD"/>
    <w:rsid w:val="00C15209"/>
    <w:rsid w:val="00C361A0"/>
    <w:rsid w:val="00C37E57"/>
    <w:rsid w:val="00C40F39"/>
    <w:rsid w:val="00C41B91"/>
    <w:rsid w:val="00C51FF6"/>
    <w:rsid w:val="00C55356"/>
    <w:rsid w:val="00C94B70"/>
    <w:rsid w:val="00CE2FC2"/>
    <w:rsid w:val="00CE41DB"/>
    <w:rsid w:val="00CF184F"/>
    <w:rsid w:val="00D10ECE"/>
    <w:rsid w:val="00D14343"/>
    <w:rsid w:val="00D40678"/>
    <w:rsid w:val="00D4269A"/>
    <w:rsid w:val="00D43295"/>
    <w:rsid w:val="00D513CA"/>
    <w:rsid w:val="00D51FFA"/>
    <w:rsid w:val="00D73319"/>
    <w:rsid w:val="00D7515B"/>
    <w:rsid w:val="00D83CAA"/>
    <w:rsid w:val="00D8560E"/>
    <w:rsid w:val="00DA0A84"/>
    <w:rsid w:val="00DB6521"/>
    <w:rsid w:val="00DD08CE"/>
    <w:rsid w:val="00DD1BEF"/>
    <w:rsid w:val="00DE656E"/>
    <w:rsid w:val="00DF3926"/>
    <w:rsid w:val="00E064B8"/>
    <w:rsid w:val="00E1195E"/>
    <w:rsid w:val="00E368F9"/>
    <w:rsid w:val="00E36C79"/>
    <w:rsid w:val="00E54BB2"/>
    <w:rsid w:val="00E566CF"/>
    <w:rsid w:val="00E608F9"/>
    <w:rsid w:val="00E61184"/>
    <w:rsid w:val="00E66B7C"/>
    <w:rsid w:val="00E71678"/>
    <w:rsid w:val="00E740F4"/>
    <w:rsid w:val="00E91F9A"/>
    <w:rsid w:val="00E92A26"/>
    <w:rsid w:val="00EA6D3D"/>
    <w:rsid w:val="00EB1DA9"/>
    <w:rsid w:val="00EB3549"/>
    <w:rsid w:val="00ED6328"/>
    <w:rsid w:val="00F238D6"/>
    <w:rsid w:val="00F23F3F"/>
    <w:rsid w:val="00F26B8D"/>
    <w:rsid w:val="00F31C2D"/>
    <w:rsid w:val="00F3232E"/>
    <w:rsid w:val="00F32FF7"/>
    <w:rsid w:val="00F63D15"/>
    <w:rsid w:val="00F82FDD"/>
    <w:rsid w:val="00FD10B1"/>
    <w:rsid w:val="00FE1580"/>
    <w:rsid w:val="00FE3496"/>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tx2">
    <w:name w:val="tx2"/>
    <w:basedOn w:val="DefaultParagraphFont"/>
    <w:rsid w:val="00A57A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2">
    <w:name w:val="heading 2"/>
    <w:basedOn w:val="Normal"/>
    <w:next w:val="Normal"/>
    <w:link w:val="Heading2Char"/>
    <w:uiPriority w:val="9"/>
    <w:unhideWhenUsed/>
    <w:qFormat/>
    <w:rsid w:val="00C37E57"/>
    <w:pPr>
      <w:spacing w:before="80"/>
      <w:outlineLvl w:val="1"/>
    </w:pPr>
    <w:rPr>
      <w:b/>
    </w:rPr>
  </w:style>
  <w:style w:type="paragraph" w:styleId="Heading3">
    <w:name w:val="heading 3"/>
    <w:basedOn w:val="Normal"/>
    <w:next w:val="Normal"/>
    <w:link w:val="Heading3Char"/>
    <w:uiPriority w:val="9"/>
    <w:unhideWhenUsed/>
    <w:qFormat/>
    <w:rsid w:val="00B5242A"/>
    <w:pPr>
      <w:spacing w:before="12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C37E57"/>
    <w:rPr>
      <w:rFonts w:ascii="Calibri" w:hAnsi="Calibri" w:cs="Arial"/>
      <w:b/>
      <w:bCs/>
    </w:rPr>
  </w:style>
  <w:style w:type="character" w:customStyle="1" w:styleId="Heading3Char">
    <w:name w:val="Heading 3 Char"/>
    <w:basedOn w:val="DefaultParagraphFont"/>
    <w:link w:val="Heading3"/>
    <w:uiPriority w:val="9"/>
    <w:rsid w:val="00B5242A"/>
    <w:rPr>
      <w:rFonts w:ascii="Calibri" w:hAnsi="Calibri" w:cs="Arial"/>
      <w:bCs/>
      <w:i/>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tx2">
    <w:name w:val="tx2"/>
    <w:basedOn w:val="DefaultParagraphFont"/>
    <w:rsid w:val="00A57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oter" Target="footer3.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6F41"/>
    <w:rsid w:val="001A3A5D"/>
    <w:rsid w:val="001A3CA2"/>
    <w:rsid w:val="0024580B"/>
    <w:rsid w:val="002C0069"/>
    <w:rsid w:val="003411F0"/>
    <w:rsid w:val="00407569"/>
    <w:rsid w:val="004331E0"/>
    <w:rsid w:val="005A6FF2"/>
    <w:rsid w:val="007A0B57"/>
    <w:rsid w:val="007B16A3"/>
    <w:rsid w:val="00C27CD7"/>
    <w:rsid w:val="00E80BCE"/>
    <w:rsid w:val="00EA6C45"/>
    <w:rsid w:val="00ED0379"/>
    <w:rsid w:val="00ED7D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F5A0B-CB95-401B-BAE4-431A25671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974</Words>
  <Characters>5556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Facilitator Guide: Build Your SSI Prevention Bundle</vt:lpstr>
    </vt:vector>
  </TitlesOfParts>
  <Manager>Johns Hopkins Medicine | Armstrong Institute for Patient Safety and Quality</Manager>
  <Company>AHRQ | Agency for Healthcare Research and Quality</Company>
  <LinksUpToDate>false</LinksUpToDate>
  <CharactersWithSpaces>6517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Build Your SSI Prevention Bundle</dc:title>
  <dc:subject>AHRQ Safety Program for Mechanically Ventilated Patients</dc:subject>
  <dc:creator>CUSP4MVP-VAP/L&amp;D</dc:creator>
  <cp:keywords>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8</cp:revision>
  <cp:lastPrinted>2014-07-11T13:37:00Z</cp:lastPrinted>
  <dcterms:created xsi:type="dcterms:W3CDTF">2016-09-29T14:10:00Z</dcterms:created>
  <dcterms:modified xsi:type="dcterms:W3CDTF">2017-01-16T21:37:00Z</dcterms:modified>
  <cp:category>patient safety, CUSP, VAE, VAP, healthcare acquired infections, critical care nursing, mechanical ventilation, ventilator associated events, early mobility, low tidal volume ventilation, daily care</cp:category>
</cp:coreProperties>
</file>