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075F" w14:textId="77777777" w:rsidR="00503638" w:rsidRPr="00636FCC" w:rsidRDefault="00503638" w:rsidP="00E505F7">
      <w:pPr>
        <w:pStyle w:val="Heading1"/>
        <w:spacing w:after="240"/>
        <w:jc w:val="center"/>
      </w:pPr>
      <w:r>
        <w:t>Catheter Care</w:t>
      </w:r>
      <w:r w:rsidR="00F2523F">
        <w:t xml:space="preserve"> and Maintenance Quiz</w:t>
      </w:r>
      <w:r w:rsidR="007A4B61">
        <w:t xml:space="preserve"> Key</w:t>
      </w:r>
    </w:p>
    <w:p w14:paraId="2546BB34" w14:textId="77777777" w:rsidR="00E505F7" w:rsidRDefault="00503638" w:rsidP="00385C59">
      <w:pPr>
        <w:numPr>
          <w:ilvl w:val="0"/>
          <w:numId w:val="3"/>
        </w:numPr>
        <w:tabs>
          <w:tab w:val="clear" w:pos="720"/>
        </w:tabs>
        <w:spacing w:after="0"/>
        <w:ind w:left="360"/>
        <w:rPr>
          <w:b/>
        </w:rPr>
      </w:pPr>
      <w:r w:rsidRPr="00E505F7">
        <w:rPr>
          <w:b/>
        </w:rPr>
        <w:t>During catheter care, gloves only need to be worn if you are e</w:t>
      </w:r>
      <w:r w:rsidR="00E505F7">
        <w:rPr>
          <w:b/>
        </w:rPr>
        <w:t>mptying the urine drainage bag.</w:t>
      </w:r>
    </w:p>
    <w:p w14:paraId="25887EC0" w14:textId="77777777" w:rsidR="00503638" w:rsidRDefault="008A7B22" w:rsidP="00385C59">
      <w:pPr>
        <w:tabs>
          <w:tab w:val="left" w:pos="720"/>
          <w:tab w:val="left" w:pos="2160"/>
          <w:tab w:val="left" w:pos="2520"/>
        </w:tabs>
        <w:spacing w:after="0"/>
        <w:ind w:left="360"/>
        <w:rPr>
          <w:b/>
        </w:rPr>
      </w:pPr>
      <w:sdt>
        <w:sdtPr>
          <w:rPr>
            <w:rFonts w:ascii="MS Gothic" w:eastAsia="MS Gothic" w:hAnsi="MS Gothic"/>
            <w:b/>
          </w:rPr>
          <w:id w:val="-1854800979"/>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Pr>
          <w:rFonts w:ascii="MS Gothic" w:eastAsia="MS Gothic" w:hAnsi="MS Gothic"/>
          <w:b/>
        </w:rPr>
        <w:tab/>
      </w:r>
      <w:r w:rsidR="00E505F7">
        <w:rPr>
          <w:b/>
        </w:rPr>
        <w:t>True</w:t>
      </w:r>
      <w:r w:rsidR="00E505F7">
        <w:rPr>
          <w:b/>
        </w:rPr>
        <w:tab/>
      </w:r>
      <w:sdt>
        <w:sdtPr>
          <w:rPr>
            <w:rFonts w:ascii="MS Gothic" w:eastAsia="MS Gothic" w:hAnsi="MS Gothic"/>
            <w:b/>
          </w:rPr>
          <w:id w:val="1858773192"/>
          <w14:checkbox>
            <w14:checked w14:val="1"/>
            <w14:checkedState w14:val="2612" w14:font="MS Gothic"/>
            <w14:uncheckedState w14:val="2610" w14:font="MS Gothic"/>
          </w14:checkbox>
        </w:sdtPr>
        <w:sdtEndPr/>
        <w:sdtContent>
          <w:r w:rsidR="008C67B0">
            <w:rPr>
              <w:rFonts w:ascii="MS Gothic" w:eastAsia="MS Gothic" w:hAnsi="MS Gothic" w:hint="eastAsia"/>
              <w:b/>
            </w:rPr>
            <w:t>☒</w:t>
          </w:r>
        </w:sdtContent>
      </w:sdt>
      <w:r w:rsidR="00E505F7">
        <w:rPr>
          <w:rFonts w:ascii="MS Gothic" w:eastAsia="MS Gothic" w:hAnsi="MS Gothic"/>
          <w:b/>
        </w:rPr>
        <w:tab/>
      </w:r>
      <w:r w:rsidR="00503638" w:rsidRPr="00E505F7">
        <w:rPr>
          <w:b/>
        </w:rPr>
        <w:t>False</w:t>
      </w:r>
    </w:p>
    <w:p w14:paraId="007362D2" w14:textId="77777777" w:rsidR="008C67B0" w:rsidRPr="008C67B0" w:rsidRDefault="008C67B0" w:rsidP="00385C59">
      <w:pPr>
        <w:ind w:left="1350" w:hanging="990"/>
        <w:rPr>
          <w:b/>
          <w:color w:val="C00000"/>
        </w:rPr>
      </w:pPr>
      <w:r>
        <w:rPr>
          <w:b/>
          <w:color w:val="C00000"/>
        </w:rPr>
        <w:t>ANSWER</w:t>
      </w:r>
      <w:r w:rsidRPr="00E234DB">
        <w:rPr>
          <w:b/>
          <w:color w:val="C00000"/>
        </w:rPr>
        <w:t>:</w:t>
      </w:r>
      <w:r>
        <w:rPr>
          <w:b/>
        </w:rPr>
        <w:tab/>
      </w:r>
      <w:r w:rsidRPr="00E234DB">
        <w:rPr>
          <w:color w:val="C00000"/>
        </w:rPr>
        <w:t>False. Gloves should always be worn when handling an indwelling urinary catheter, accessing the drainage system, emptying the drainage bag</w:t>
      </w:r>
      <w:r w:rsidR="00385C59">
        <w:rPr>
          <w:color w:val="C00000"/>
        </w:rPr>
        <w:t>,</w:t>
      </w:r>
      <w:r w:rsidRPr="00E234DB">
        <w:rPr>
          <w:color w:val="C00000"/>
        </w:rPr>
        <w:t xml:space="preserve"> and collecting a urine sample.</w:t>
      </w:r>
      <w:r w:rsidRPr="00E234DB">
        <w:rPr>
          <w:b/>
          <w:color w:val="C00000"/>
        </w:rPr>
        <w:t xml:space="preserve"> </w:t>
      </w:r>
    </w:p>
    <w:p w14:paraId="65A2C84F" w14:textId="77777777" w:rsidR="00503638" w:rsidRDefault="00503638" w:rsidP="00385C59">
      <w:pPr>
        <w:numPr>
          <w:ilvl w:val="0"/>
          <w:numId w:val="3"/>
        </w:numPr>
        <w:tabs>
          <w:tab w:val="clear" w:pos="720"/>
        </w:tabs>
        <w:spacing w:after="0"/>
        <w:ind w:left="360"/>
        <w:rPr>
          <w:b/>
        </w:rPr>
      </w:pPr>
      <w:r w:rsidRPr="007B1870">
        <w:rPr>
          <w:b/>
        </w:rPr>
        <w:t>Hand hygiene does not need to be perfo</w:t>
      </w:r>
      <w:r w:rsidR="00E505F7">
        <w:rPr>
          <w:b/>
        </w:rPr>
        <w:t>rmed if you are wearing gloves.</w:t>
      </w:r>
    </w:p>
    <w:p w14:paraId="30EB7D7B" w14:textId="77777777" w:rsidR="00503638" w:rsidRDefault="008A7B22" w:rsidP="00385C59">
      <w:pPr>
        <w:tabs>
          <w:tab w:val="left" w:pos="720"/>
          <w:tab w:val="left" w:pos="2160"/>
          <w:tab w:val="left" w:pos="2520"/>
        </w:tabs>
        <w:spacing w:after="0"/>
        <w:ind w:left="360"/>
        <w:rPr>
          <w:b/>
        </w:rPr>
      </w:pPr>
      <w:sdt>
        <w:sdtPr>
          <w:rPr>
            <w:rFonts w:ascii="MS Gothic" w:eastAsia="MS Gothic" w:hAnsi="MS Gothic"/>
            <w:b/>
          </w:rPr>
          <w:id w:val="-2000414854"/>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432678140"/>
          <w14:checkbox>
            <w14:checked w14:val="1"/>
            <w14:checkedState w14:val="2612" w14:font="MS Gothic"/>
            <w14:uncheckedState w14:val="2610" w14:font="MS Gothic"/>
          </w14:checkbox>
        </w:sdtPr>
        <w:sdtEndPr/>
        <w:sdtContent>
          <w:r w:rsidR="00385C59">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p>
    <w:p w14:paraId="5539A383" w14:textId="77777777" w:rsidR="008C67B0" w:rsidRPr="008C67B0" w:rsidRDefault="008C67B0" w:rsidP="00385C59">
      <w:pPr>
        <w:ind w:left="1350" w:hanging="990"/>
        <w:rPr>
          <w:color w:val="C00000"/>
        </w:rPr>
      </w:pPr>
      <w:r>
        <w:rPr>
          <w:b/>
          <w:color w:val="C00000"/>
        </w:rPr>
        <w:t>ANSWER</w:t>
      </w:r>
      <w:r w:rsidRPr="00E234DB">
        <w:rPr>
          <w:b/>
          <w:color w:val="C00000"/>
        </w:rPr>
        <w:t>:</w:t>
      </w:r>
      <w:r>
        <w:rPr>
          <w:b/>
        </w:rPr>
        <w:tab/>
      </w:r>
      <w:r w:rsidRPr="00E234DB">
        <w:rPr>
          <w:color w:val="C00000"/>
        </w:rPr>
        <w:t>False. Gloves play a key role in preventing hand contamination, but glove use does not replace proper hand hygiene</w:t>
      </w:r>
      <w:r w:rsidRPr="00E234DB">
        <w:rPr>
          <w:b/>
          <w:color w:val="C00000"/>
        </w:rPr>
        <w:t xml:space="preserve">. </w:t>
      </w:r>
      <w:r w:rsidRPr="00E234DB">
        <w:rPr>
          <w:color w:val="C00000"/>
        </w:rPr>
        <w:t>Hand hygiene should always be performed both before and after any contact with the resident, handling an indwelling urinary catheter, accessing the drainage system, emptying the drainage bag</w:t>
      </w:r>
      <w:r w:rsidR="00385C59">
        <w:rPr>
          <w:color w:val="C00000"/>
        </w:rPr>
        <w:t>,</w:t>
      </w:r>
      <w:r w:rsidRPr="00E234DB">
        <w:rPr>
          <w:color w:val="C00000"/>
        </w:rPr>
        <w:t xml:space="preserve"> and collecting a urine sample.</w:t>
      </w:r>
    </w:p>
    <w:p w14:paraId="1F42AB8A" w14:textId="77777777" w:rsidR="00503638" w:rsidRDefault="00503638" w:rsidP="00385C59">
      <w:pPr>
        <w:numPr>
          <w:ilvl w:val="0"/>
          <w:numId w:val="3"/>
        </w:numPr>
        <w:tabs>
          <w:tab w:val="clear" w:pos="720"/>
        </w:tabs>
        <w:spacing w:after="0"/>
        <w:ind w:left="360"/>
        <w:rPr>
          <w:b/>
        </w:rPr>
      </w:pPr>
      <w:r w:rsidRPr="007B1870">
        <w:rPr>
          <w:b/>
        </w:rPr>
        <w:t>Only trained staff should empty urine drainage bags and rinse/store urine collection containers.</w:t>
      </w:r>
    </w:p>
    <w:p w14:paraId="5BBB8388" w14:textId="77777777" w:rsidR="00E505F7" w:rsidRDefault="008A7B22" w:rsidP="00385C59">
      <w:pPr>
        <w:tabs>
          <w:tab w:val="left" w:pos="720"/>
          <w:tab w:val="left" w:pos="2160"/>
          <w:tab w:val="left" w:pos="2520"/>
        </w:tabs>
        <w:spacing w:after="0"/>
        <w:ind w:left="360"/>
        <w:rPr>
          <w:b/>
        </w:rPr>
      </w:pPr>
      <w:sdt>
        <w:sdtPr>
          <w:rPr>
            <w:rFonts w:ascii="MS Gothic" w:eastAsia="MS Gothic" w:hAnsi="MS Gothic"/>
            <w:b/>
          </w:rPr>
          <w:id w:val="1279613382"/>
          <w14:checkbox>
            <w14:checked w14:val="1"/>
            <w14:checkedState w14:val="2612" w14:font="MS Gothic"/>
            <w14:uncheckedState w14:val="2610" w14:font="MS Gothic"/>
          </w14:checkbox>
        </w:sdtPr>
        <w:sdtEndPr/>
        <w:sdtContent>
          <w:r w:rsidR="00385C59">
            <w:rPr>
              <w:rFonts w:ascii="MS Gothic" w:eastAsia="MS Gothic" w:hAnsi="MS Gothic" w:hint="eastAsia"/>
              <w:b/>
            </w:rPr>
            <w:t>☒</w:t>
          </w:r>
        </w:sdtContent>
      </w:sdt>
      <w:r w:rsidR="00E505F7" w:rsidRP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1571151018"/>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p>
    <w:p w14:paraId="43B1CD4D" w14:textId="77777777" w:rsidR="00385C59" w:rsidRPr="00E505F7" w:rsidRDefault="00385C59" w:rsidP="00385C59">
      <w:pPr>
        <w:tabs>
          <w:tab w:val="left" w:pos="720"/>
        </w:tabs>
        <w:ind w:left="1350" w:hanging="990"/>
        <w:rPr>
          <w:b/>
        </w:rPr>
      </w:pPr>
      <w:r>
        <w:rPr>
          <w:b/>
          <w:color w:val="C00000"/>
        </w:rPr>
        <w:t>ANSWER</w:t>
      </w:r>
      <w:r w:rsidRPr="00E234DB">
        <w:rPr>
          <w:b/>
          <w:color w:val="C00000"/>
        </w:rPr>
        <w:t>:</w:t>
      </w:r>
      <w:r>
        <w:rPr>
          <w:b/>
        </w:rPr>
        <w:tab/>
      </w:r>
      <w:r w:rsidRPr="00E234DB">
        <w:rPr>
          <w:color w:val="C00000"/>
        </w:rPr>
        <w:t>True. Only trained staff should empty urine draina</w:t>
      </w:r>
      <w:r>
        <w:rPr>
          <w:color w:val="C00000"/>
        </w:rPr>
        <w:t>ge bags and rinse/store urine c</w:t>
      </w:r>
      <w:r w:rsidR="000C77FB">
        <w:rPr>
          <w:color w:val="C00000"/>
        </w:rPr>
        <w:t>o</w:t>
      </w:r>
      <w:r w:rsidRPr="00E234DB">
        <w:rPr>
          <w:color w:val="C00000"/>
        </w:rPr>
        <w:t>llection containers.</w:t>
      </w:r>
    </w:p>
    <w:p w14:paraId="171DD519" w14:textId="77777777" w:rsidR="00E505F7" w:rsidRDefault="00A23063" w:rsidP="00385C59">
      <w:pPr>
        <w:numPr>
          <w:ilvl w:val="0"/>
          <w:numId w:val="3"/>
        </w:numPr>
        <w:tabs>
          <w:tab w:val="clear" w:pos="720"/>
        </w:tabs>
        <w:spacing w:after="0"/>
        <w:ind w:left="360"/>
        <w:rPr>
          <w:b/>
        </w:rPr>
      </w:pPr>
      <w:r>
        <w:rPr>
          <w:b/>
        </w:rPr>
        <w:t>If a resident lives in a single-</w:t>
      </w:r>
      <w:r w:rsidR="00503638" w:rsidRPr="007B1870">
        <w:rPr>
          <w:b/>
        </w:rPr>
        <w:t>occupant room, there is no need to include their name or identifier on the bath basin</w:t>
      </w:r>
      <w:r w:rsidR="00E505F7">
        <w:rPr>
          <w:b/>
        </w:rPr>
        <w:t xml:space="preserve"> or urine collection container.</w:t>
      </w:r>
    </w:p>
    <w:p w14:paraId="6E84D68D" w14:textId="77777777" w:rsidR="00E505F7" w:rsidRDefault="008A7B22" w:rsidP="00385C59">
      <w:pPr>
        <w:tabs>
          <w:tab w:val="left" w:pos="720"/>
          <w:tab w:val="left" w:pos="2160"/>
          <w:tab w:val="left" w:pos="2520"/>
        </w:tabs>
        <w:spacing w:after="0"/>
        <w:ind w:left="360"/>
        <w:rPr>
          <w:b/>
        </w:rPr>
      </w:pPr>
      <w:sdt>
        <w:sdtPr>
          <w:rPr>
            <w:rFonts w:ascii="MS Gothic" w:eastAsia="MS Gothic" w:hAnsi="MS Gothic"/>
            <w:b/>
          </w:rPr>
          <w:id w:val="-1262911361"/>
          <w14:checkbox>
            <w14:checked w14:val="0"/>
            <w14:checkedState w14:val="2612" w14:font="MS Gothic"/>
            <w14:uncheckedState w14:val="2610" w14:font="MS Gothic"/>
          </w14:checkbox>
        </w:sdtPr>
        <w:sdtEndPr/>
        <w:sdtContent>
          <w:r w:rsidR="00E505F7">
            <w:rPr>
              <w:rFonts w:ascii="MS Gothic" w:eastAsia="MS Gothic" w:hAnsi="MS Gothic" w:hint="eastAsia"/>
              <w:b/>
            </w:rPr>
            <w:t>☐</w:t>
          </w:r>
        </w:sdtContent>
      </w:sdt>
      <w:r w:rsid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514766417"/>
          <w14:checkbox>
            <w14:checked w14:val="1"/>
            <w14:checkedState w14:val="2612" w14:font="MS Gothic"/>
            <w14:uncheckedState w14:val="2610" w14:font="MS Gothic"/>
          </w14:checkbox>
        </w:sdtPr>
        <w:sdtEndPr/>
        <w:sdtContent>
          <w:r w:rsidR="00385C59">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p>
    <w:p w14:paraId="7927E172" w14:textId="77777777" w:rsidR="00385C59" w:rsidRPr="00385C59" w:rsidRDefault="00385C59" w:rsidP="00385C59">
      <w:pPr>
        <w:ind w:left="1350" w:hanging="990"/>
        <w:rPr>
          <w:color w:val="C00000"/>
        </w:rPr>
      </w:pPr>
      <w:r>
        <w:rPr>
          <w:b/>
          <w:color w:val="C00000"/>
        </w:rPr>
        <w:t>ANSWER</w:t>
      </w:r>
      <w:r w:rsidRPr="00E234DB">
        <w:rPr>
          <w:b/>
          <w:color w:val="C00000"/>
        </w:rPr>
        <w:t>:</w:t>
      </w:r>
      <w:r>
        <w:rPr>
          <w:b/>
          <w:color w:val="C00000"/>
        </w:rPr>
        <w:tab/>
      </w:r>
      <w:r w:rsidRPr="00E234DB">
        <w:rPr>
          <w:color w:val="C00000"/>
        </w:rPr>
        <w:t>False. A resident</w:t>
      </w:r>
      <w:r>
        <w:rPr>
          <w:color w:val="C00000"/>
        </w:rPr>
        <w:t>-</w:t>
      </w:r>
      <w:r w:rsidRPr="00E234DB">
        <w:rPr>
          <w:color w:val="C00000"/>
        </w:rPr>
        <w:t>identifier and the date of initial use should be included on equipment used for that particular resident. This includes, but is not limited to bath basins, urine collection containers, urine screens, blood glucose meter, continuous positive airway pressure (CPAP) machine</w:t>
      </w:r>
      <w:r w:rsidR="00081D53">
        <w:rPr>
          <w:color w:val="C00000"/>
        </w:rPr>
        <w:t>s</w:t>
      </w:r>
      <w:r>
        <w:rPr>
          <w:color w:val="C00000"/>
        </w:rPr>
        <w:t>, and oxygen concentrator bags.</w:t>
      </w:r>
    </w:p>
    <w:p w14:paraId="0A00C6EE" w14:textId="77777777" w:rsidR="00E505F7" w:rsidRDefault="00503638" w:rsidP="00385C59">
      <w:pPr>
        <w:numPr>
          <w:ilvl w:val="0"/>
          <w:numId w:val="3"/>
        </w:numPr>
        <w:tabs>
          <w:tab w:val="clear" w:pos="720"/>
        </w:tabs>
        <w:spacing w:after="0"/>
        <w:ind w:left="360"/>
        <w:rPr>
          <w:b/>
        </w:rPr>
      </w:pPr>
      <w:r w:rsidRPr="00E505F7">
        <w:rPr>
          <w:b/>
        </w:rPr>
        <w:t>It is good practice to disinfect the drainage bag sampling port before obtaining a urine sample</w:t>
      </w:r>
      <w:r w:rsidR="00E505F7" w:rsidRPr="00E505F7">
        <w:rPr>
          <w:b/>
        </w:rPr>
        <w:t>.</w:t>
      </w:r>
    </w:p>
    <w:p w14:paraId="5ADC5D52" w14:textId="77777777" w:rsidR="00E505F7" w:rsidRDefault="008A7B22" w:rsidP="00385C59">
      <w:pPr>
        <w:tabs>
          <w:tab w:val="left" w:pos="720"/>
          <w:tab w:val="left" w:pos="2160"/>
          <w:tab w:val="left" w:pos="2520"/>
        </w:tabs>
        <w:spacing w:after="0"/>
        <w:ind w:left="360"/>
        <w:rPr>
          <w:b/>
        </w:rPr>
      </w:pPr>
      <w:sdt>
        <w:sdtPr>
          <w:rPr>
            <w:rFonts w:ascii="MS Gothic" w:eastAsia="MS Gothic" w:hAnsi="MS Gothic"/>
            <w:b/>
          </w:rPr>
          <w:id w:val="1735820746"/>
          <w14:checkbox>
            <w14:checked w14:val="1"/>
            <w14:checkedState w14:val="2612" w14:font="MS Gothic"/>
            <w14:uncheckedState w14:val="2610" w14:font="MS Gothic"/>
          </w14:checkbox>
        </w:sdtPr>
        <w:sdtEndPr/>
        <w:sdtContent>
          <w:r w:rsidR="00385C59">
            <w:rPr>
              <w:rFonts w:ascii="MS Gothic" w:eastAsia="MS Gothic" w:hAnsi="MS Gothic" w:hint="eastAsia"/>
              <w:b/>
            </w:rPr>
            <w:t>☒</w:t>
          </w:r>
        </w:sdtContent>
      </w:sdt>
      <w:r w:rsidR="00E505F7" w:rsidRP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58485348"/>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p>
    <w:p w14:paraId="52F4E9DB" w14:textId="77777777" w:rsidR="00385C59" w:rsidRPr="00385C59" w:rsidRDefault="00385C59" w:rsidP="00385C59">
      <w:pPr>
        <w:ind w:left="1350" w:hanging="990"/>
        <w:rPr>
          <w:color w:val="C00000"/>
        </w:rPr>
      </w:pPr>
      <w:r>
        <w:rPr>
          <w:b/>
          <w:color w:val="C00000"/>
        </w:rPr>
        <w:t>ANSWER:</w:t>
      </w:r>
      <w:r>
        <w:rPr>
          <w:b/>
          <w:color w:val="C00000"/>
        </w:rPr>
        <w:tab/>
      </w:r>
      <w:r w:rsidRPr="00E234DB">
        <w:rPr>
          <w:color w:val="C00000"/>
        </w:rPr>
        <w:t>True. It is good practice to disinfect the drainage bag sampling port before obtaining urine samples. This will help reduce the possibility of contamination and the chance that the resi</w:t>
      </w:r>
      <w:r>
        <w:rPr>
          <w:color w:val="C00000"/>
        </w:rPr>
        <w:t>dent will develop an infection.</w:t>
      </w:r>
    </w:p>
    <w:p w14:paraId="18BC52F3" w14:textId="77777777" w:rsidR="00503638" w:rsidRDefault="00503638" w:rsidP="00385C59">
      <w:pPr>
        <w:numPr>
          <w:ilvl w:val="0"/>
          <w:numId w:val="3"/>
        </w:numPr>
        <w:tabs>
          <w:tab w:val="clear" w:pos="720"/>
        </w:tabs>
        <w:spacing w:after="0"/>
        <w:ind w:left="360"/>
        <w:rPr>
          <w:b/>
        </w:rPr>
      </w:pPr>
      <w:r w:rsidRPr="00E505F7">
        <w:rPr>
          <w:b/>
        </w:rPr>
        <w:t>Catheters and drainage bags should not be changed at routine, fixed intervals</w:t>
      </w:r>
      <w:r w:rsidR="00E505F7">
        <w:rPr>
          <w:b/>
        </w:rPr>
        <w:t>.</w:t>
      </w:r>
    </w:p>
    <w:p w14:paraId="0BC6E655" w14:textId="77777777" w:rsidR="00E505F7" w:rsidRDefault="008A7B22" w:rsidP="00385C59">
      <w:pPr>
        <w:tabs>
          <w:tab w:val="left" w:pos="720"/>
          <w:tab w:val="left" w:pos="2160"/>
          <w:tab w:val="left" w:pos="2520"/>
        </w:tabs>
        <w:spacing w:after="0"/>
        <w:ind w:left="360"/>
        <w:rPr>
          <w:b/>
        </w:rPr>
      </w:pPr>
      <w:sdt>
        <w:sdtPr>
          <w:rPr>
            <w:rFonts w:ascii="MS Gothic" w:eastAsia="MS Gothic" w:hAnsi="MS Gothic"/>
            <w:b/>
          </w:rPr>
          <w:id w:val="1894932527"/>
          <w14:checkbox>
            <w14:checked w14:val="1"/>
            <w14:checkedState w14:val="2612" w14:font="MS Gothic"/>
            <w14:uncheckedState w14:val="2610" w14:font="MS Gothic"/>
          </w14:checkbox>
        </w:sdtPr>
        <w:sdtEndPr/>
        <w:sdtContent>
          <w:r w:rsidR="00385C59">
            <w:rPr>
              <w:rFonts w:ascii="MS Gothic" w:eastAsia="MS Gothic" w:hAnsi="MS Gothic" w:hint="eastAsia"/>
              <w:b/>
            </w:rPr>
            <w:t>☒</w:t>
          </w:r>
        </w:sdtContent>
      </w:sdt>
      <w:r w:rsidR="00E505F7" w:rsidRP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1306746179"/>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p>
    <w:p w14:paraId="687F0B3D" w14:textId="77777777" w:rsidR="00385C59" w:rsidRPr="00E505F7" w:rsidRDefault="00385C59" w:rsidP="00385C59">
      <w:pPr>
        <w:ind w:left="1350" w:hanging="990"/>
        <w:rPr>
          <w:b/>
        </w:rPr>
      </w:pPr>
      <w:r>
        <w:rPr>
          <w:b/>
          <w:color w:val="C00000"/>
        </w:rPr>
        <w:t>ANSWER</w:t>
      </w:r>
      <w:r w:rsidRPr="00E234DB">
        <w:rPr>
          <w:b/>
          <w:color w:val="C00000"/>
        </w:rPr>
        <w:t>:</w:t>
      </w:r>
      <w:r>
        <w:rPr>
          <w:b/>
          <w:color w:val="C00000"/>
        </w:rPr>
        <w:tab/>
      </w:r>
      <w:r w:rsidRPr="00E234DB">
        <w:rPr>
          <w:color w:val="C00000"/>
        </w:rPr>
        <w:t>True. Indwelling urinary catheters and drainage bags should not be changed at routine, fixed intervals. Routine changing does not reduce the chance of developing an infection and increases the opportunity for indwelling catheter contamination.</w:t>
      </w:r>
    </w:p>
    <w:p w14:paraId="6CDF247C" w14:textId="77777777" w:rsidR="00385C59" w:rsidRDefault="00385C59">
      <w:pPr>
        <w:spacing w:after="0" w:line="240" w:lineRule="auto"/>
        <w:rPr>
          <w:b/>
        </w:rPr>
      </w:pPr>
      <w:r>
        <w:rPr>
          <w:b/>
        </w:rPr>
        <w:br w:type="page"/>
      </w:r>
    </w:p>
    <w:p w14:paraId="47879684" w14:textId="77777777" w:rsidR="00E505F7" w:rsidRDefault="00503638" w:rsidP="00385C59">
      <w:pPr>
        <w:numPr>
          <w:ilvl w:val="0"/>
          <w:numId w:val="3"/>
        </w:numPr>
        <w:tabs>
          <w:tab w:val="clear" w:pos="720"/>
        </w:tabs>
        <w:spacing w:after="0"/>
        <w:ind w:left="360"/>
        <w:rPr>
          <w:b/>
        </w:rPr>
      </w:pPr>
      <w:r w:rsidRPr="007B1870">
        <w:rPr>
          <w:b/>
        </w:rPr>
        <w:lastRenderedPageBreak/>
        <w:t>Leg bags can be used to improve resident comfort, mobility</w:t>
      </w:r>
      <w:r w:rsidR="00A23063">
        <w:rPr>
          <w:b/>
        </w:rPr>
        <w:t>,</w:t>
      </w:r>
      <w:r w:rsidRPr="007B1870">
        <w:rPr>
          <w:b/>
        </w:rPr>
        <w:t xml:space="preserve"> and/or dignity.</w:t>
      </w:r>
    </w:p>
    <w:p w14:paraId="37A62E54" w14:textId="77777777" w:rsidR="00503638" w:rsidRDefault="008A7B22" w:rsidP="00385C59">
      <w:pPr>
        <w:tabs>
          <w:tab w:val="left" w:pos="720"/>
          <w:tab w:val="left" w:pos="2160"/>
          <w:tab w:val="left" w:pos="2520"/>
        </w:tabs>
        <w:spacing w:after="0"/>
        <w:ind w:left="360"/>
        <w:rPr>
          <w:b/>
        </w:rPr>
      </w:pPr>
      <w:sdt>
        <w:sdtPr>
          <w:rPr>
            <w:rFonts w:ascii="MS Gothic" w:eastAsia="MS Gothic" w:hAnsi="MS Gothic"/>
            <w:b/>
          </w:rPr>
          <w:id w:val="-420955284"/>
          <w14:checkbox>
            <w14:checked w14:val="1"/>
            <w14:checkedState w14:val="2612" w14:font="MS Gothic"/>
            <w14:uncheckedState w14:val="2610" w14:font="MS Gothic"/>
          </w14:checkbox>
        </w:sdtPr>
        <w:sdtEndPr/>
        <w:sdtContent>
          <w:r w:rsidR="00385C59">
            <w:rPr>
              <w:rFonts w:ascii="MS Gothic" w:eastAsia="MS Gothic" w:hAnsi="MS Gothic" w:hint="eastAsia"/>
              <w:b/>
            </w:rPr>
            <w:t>☒</w:t>
          </w:r>
        </w:sdtContent>
      </w:sdt>
      <w:r w:rsidR="00E505F7" w:rsidRPr="00E505F7">
        <w:rPr>
          <w:rFonts w:ascii="MS Gothic" w:eastAsia="MS Gothic" w:hAnsi="MS Gothic"/>
          <w:b/>
        </w:rPr>
        <w:tab/>
      </w:r>
      <w:r w:rsidR="00E505F7" w:rsidRPr="00E505F7">
        <w:rPr>
          <w:b/>
        </w:rPr>
        <w:t>True</w:t>
      </w:r>
      <w:r w:rsidR="00E505F7" w:rsidRPr="00E505F7">
        <w:rPr>
          <w:b/>
        </w:rPr>
        <w:tab/>
      </w:r>
      <w:sdt>
        <w:sdtPr>
          <w:rPr>
            <w:rFonts w:ascii="MS Gothic" w:eastAsia="MS Gothic" w:hAnsi="MS Gothic"/>
            <w:b/>
          </w:rPr>
          <w:id w:val="-2122528672"/>
          <w14:checkbox>
            <w14:checked w14:val="0"/>
            <w14:checkedState w14:val="2612" w14:font="MS Gothic"/>
            <w14:uncheckedState w14:val="2610" w14:font="MS Gothic"/>
          </w14:checkbox>
        </w:sdtPr>
        <w:sdtEndPr/>
        <w:sdtContent>
          <w:r w:rsidR="00E505F7" w:rsidRPr="00E505F7">
            <w:rPr>
              <w:rFonts w:ascii="MS Gothic" w:eastAsia="MS Gothic" w:hAnsi="MS Gothic" w:hint="eastAsia"/>
              <w:b/>
            </w:rPr>
            <w:t>☐</w:t>
          </w:r>
        </w:sdtContent>
      </w:sdt>
      <w:r w:rsidR="00E505F7" w:rsidRPr="00E505F7">
        <w:rPr>
          <w:rFonts w:ascii="MS Gothic" w:eastAsia="MS Gothic" w:hAnsi="MS Gothic"/>
          <w:b/>
        </w:rPr>
        <w:tab/>
      </w:r>
      <w:r w:rsidR="00E505F7" w:rsidRPr="00E505F7">
        <w:rPr>
          <w:b/>
        </w:rPr>
        <w:t>False</w:t>
      </w:r>
      <w:r w:rsidR="00503638" w:rsidRPr="00E505F7">
        <w:rPr>
          <w:b/>
        </w:rPr>
        <w:t xml:space="preserve"> </w:t>
      </w:r>
    </w:p>
    <w:p w14:paraId="7D4C2753" w14:textId="77777777" w:rsidR="00385C59" w:rsidRPr="00E505F7" w:rsidRDefault="00385C59" w:rsidP="00385C59">
      <w:pPr>
        <w:tabs>
          <w:tab w:val="left" w:pos="720"/>
        </w:tabs>
        <w:ind w:left="1350" w:hanging="990"/>
        <w:rPr>
          <w:b/>
        </w:rPr>
      </w:pPr>
      <w:r>
        <w:rPr>
          <w:b/>
          <w:color w:val="C00000"/>
        </w:rPr>
        <w:t>ANSWER</w:t>
      </w:r>
      <w:r w:rsidRPr="00E234DB">
        <w:rPr>
          <w:b/>
          <w:color w:val="C00000"/>
        </w:rPr>
        <w:t>:</w:t>
      </w:r>
      <w:r>
        <w:rPr>
          <w:b/>
          <w:color w:val="C00000"/>
        </w:rPr>
        <w:tab/>
      </w:r>
      <w:r w:rsidRPr="00E234DB">
        <w:rPr>
          <w:rFonts w:cstheme="minorHAnsi"/>
          <w:color w:val="C00000"/>
        </w:rPr>
        <w:t>True. Leg bags can be used to improve resident comfort, mobility and/or dignity. Leg bags can be concealed under clothing and may assist with optimizing independence with activities of daily living. However, this practice does conflict with the Centers for Disease Control and Prevention (CDC) and The Society for Healthcare for Epidemiology of America (SHEA) guidelines to maintain a closed drainage system. There is no compelling evidence to recommend discontinuing the use of leg bags</w:t>
      </w:r>
      <w:r w:rsidR="00081D53">
        <w:rPr>
          <w:rFonts w:cstheme="minorHAnsi"/>
          <w:color w:val="C00000"/>
        </w:rPr>
        <w:t>. With that said,</w:t>
      </w:r>
      <w:r w:rsidRPr="00E234DB">
        <w:rPr>
          <w:color w:val="C00000"/>
        </w:rPr>
        <w:t xml:space="preserve"> facilities should perform a risk assessment prior to initiating leg bag use.</w:t>
      </w:r>
    </w:p>
    <w:p w14:paraId="6D8DA10C" w14:textId="77777777" w:rsidR="002D2F74" w:rsidRDefault="00503638" w:rsidP="00385C59">
      <w:pPr>
        <w:numPr>
          <w:ilvl w:val="0"/>
          <w:numId w:val="3"/>
        </w:numPr>
        <w:tabs>
          <w:tab w:val="clear" w:pos="720"/>
        </w:tabs>
        <w:spacing w:after="0"/>
        <w:ind w:left="360"/>
        <w:rPr>
          <w:b/>
        </w:rPr>
      </w:pPr>
      <w:r w:rsidRPr="007B1870">
        <w:rPr>
          <w:b/>
        </w:rPr>
        <w:t>The periurethral area should be cleaned vig</w:t>
      </w:r>
      <w:r w:rsidR="00A23063">
        <w:rPr>
          <w:b/>
        </w:rPr>
        <w:t>orously and with a special anti</w:t>
      </w:r>
      <w:r w:rsidRPr="007B1870">
        <w:rPr>
          <w:b/>
        </w:rPr>
        <w:t xml:space="preserve">microbial solution. </w:t>
      </w:r>
    </w:p>
    <w:p w14:paraId="6D6839F9" w14:textId="77777777" w:rsidR="00385C59" w:rsidRPr="00385C59" w:rsidRDefault="008A7B22" w:rsidP="00385C59">
      <w:pPr>
        <w:tabs>
          <w:tab w:val="left" w:pos="720"/>
          <w:tab w:val="left" w:pos="2160"/>
          <w:tab w:val="left" w:pos="2520"/>
        </w:tabs>
        <w:spacing w:after="0"/>
        <w:ind w:left="360"/>
        <w:rPr>
          <w:b/>
        </w:rPr>
      </w:pPr>
      <w:sdt>
        <w:sdtPr>
          <w:rPr>
            <w:rFonts w:ascii="MS Gothic" w:eastAsia="MS Gothic" w:hAnsi="MS Gothic"/>
            <w:b/>
          </w:rPr>
          <w:id w:val="-1454008586"/>
          <w14:checkbox>
            <w14:checked w14:val="0"/>
            <w14:checkedState w14:val="2612" w14:font="MS Gothic"/>
            <w14:uncheckedState w14:val="2610" w14:font="MS Gothic"/>
          </w14:checkbox>
        </w:sdtPr>
        <w:sdtEndPr/>
        <w:sdtContent>
          <w:r w:rsidR="00385C59" w:rsidRPr="00385C59">
            <w:rPr>
              <w:rFonts w:ascii="MS Gothic" w:eastAsia="MS Gothic" w:hAnsi="MS Gothic" w:hint="eastAsia"/>
              <w:b/>
            </w:rPr>
            <w:t>☐</w:t>
          </w:r>
        </w:sdtContent>
      </w:sdt>
      <w:r w:rsidR="00385C59" w:rsidRPr="00385C59">
        <w:rPr>
          <w:rFonts w:ascii="MS Gothic" w:eastAsia="MS Gothic" w:hAnsi="MS Gothic"/>
          <w:b/>
        </w:rPr>
        <w:tab/>
      </w:r>
      <w:r w:rsidR="00385C59" w:rsidRPr="00385C59">
        <w:rPr>
          <w:b/>
        </w:rPr>
        <w:t>True</w:t>
      </w:r>
      <w:r w:rsidR="00385C59" w:rsidRPr="00385C59">
        <w:rPr>
          <w:b/>
        </w:rPr>
        <w:tab/>
      </w:r>
      <w:sdt>
        <w:sdtPr>
          <w:rPr>
            <w:rFonts w:ascii="MS Gothic" w:eastAsia="MS Gothic" w:hAnsi="MS Gothic"/>
            <w:b/>
          </w:rPr>
          <w:id w:val="-939680541"/>
          <w14:checkbox>
            <w14:checked w14:val="1"/>
            <w14:checkedState w14:val="2612" w14:font="MS Gothic"/>
            <w14:uncheckedState w14:val="2610" w14:font="MS Gothic"/>
          </w14:checkbox>
        </w:sdtPr>
        <w:sdtEndPr/>
        <w:sdtContent>
          <w:r w:rsidR="00385C59">
            <w:rPr>
              <w:rFonts w:ascii="MS Gothic" w:eastAsia="MS Gothic" w:hAnsi="MS Gothic" w:hint="eastAsia"/>
              <w:b/>
            </w:rPr>
            <w:t>☒</w:t>
          </w:r>
        </w:sdtContent>
      </w:sdt>
      <w:r w:rsidR="00385C59" w:rsidRPr="00385C59">
        <w:rPr>
          <w:rFonts w:ascii="MS Gothic" w:eastAsia="MS Gothic" w:hAnsi="MS Gothic"/>
          <w:b/>
        </w:rPr>
        <w:tab/>
      </w:r>
      <w:r w:rsidR="00385C59" w:rsidRPr="00385C59">
        <w:rPr>
          <w:b/>
        </w:rPr>
        <w:t xml:space="preserve">False </w:t>
      </w:r>
    </w:p>
    <w:p w14:paraId="528505F5" w14:textId="77777777" w:rsidR="00385C59" w:rsidRPr="002D2F74" w:rsidRDefault="00385C59" w:rsidP="00385C59">
      <w:pPr>
        <w:tabs>
          <w:tab w:val="left" w:pos="720"/>
        </w:tabs>
        <w:ind w:left="1350" w:hanging="990"/>
        <w:rPr>
          <w:b/>
        </w:rPr>
      </w:pPr>
      <w:r>
        <w:rPr>
          <w:b/>
          <w:color w:val="C00000"/>
        </w:rPr>
        <w:t>ANSWER</w:t>
      </w:r>
      <w:r w:rsidRPr="00E234DB">
        <w:rPr>
          <w:b/>
          <w:color w:val="C00000"/>
        </w:rPr>
        <w:t>:</w:t>
      </w:r>
      <w:r>
        <w:rPr>
          <w:b/>
          <w:color w:val="C00000"/>
        </w:rPr>
        <w:tab/>
      </w:r>
      <w:r w:rsidRPr="00E234DB">
        <w:rPr>
          <w:color w:val="C00000"/>
        </w:rPr>
        <w:t>False. Peri-care should be performed using only soap and water</w:t>
      </w:r>
      <w:r w:rsidR="00081D53">
        <w:rPr>
          <w:color w:val="C00000"/>
        </w:rPr>
        <w:t>,</w:t>
      </w:r>
      <w:r w:rsidRPr="00E234DB">
        <w:rPr>
          <w:color w:val="C00000"/>
        </w:rPr>
        <w:t xml:space="preserve"> and the periurethral area should not be cleaned vigorously.</w:t>
      </w:r>
    </w:p>
    <w:p w14:paraId="544275A0" w14:textId="7CDB28C7" w:rsidR="00081D53" w:rsidRPr="00081D53" w:rsidRDefault="00503638" w:rsidP="00081D53">
      <w:pPr>
        <w:pStyle w:val="ListParagraph"/>
        <w:numPr>
          <w:ilvl w:val="0"/>
          <w:numId w:val="3"/>
        </w:numPr>
        <w:tabs>
          <w:tab w:val="clear" w:pos="720"/>
          <w:tab w:val="num" w:pos="360"/>
        </w:tabs>
        <w:spacing w:after="1500"/>
        <w:ind w:left="360"/>
        <w:rPr>
          <w:b/>
        </w:rPr>
      </w:pPr>
      <w:r w:rsidRPr="007B1870">
        <w:rPr>
          <w:b/>
        </w:rPr>
        <w:t xml:space="preserve">Determine the catheter care error. </w:t>
      </w:r>
      <w:r w:rsidR="00C20FA6">
        <w:t>Joe Shmoe, a certified nursing assistant (CNA)</w:t>
      </w:r>
      <w:r w:rsidRPr="007B1870">
        <w:t xml:space="preserve"> at Sunny Lane Nursing Home, is</w:t>
      </w:r>
      <w:r w:rsidR="00081D53">
        <w:t xml:space="preserve"> conducting</w:t>
      </w:r>
      <w:r w:rsidRPr="007B1870">
        <w:t xml:space="preserve"> </w:t>
      </w:r>
      <w:r w:rsidR="00081D53">
        <w:t>a</w:t>
      </w:r>
      <w:r w:rsidR="00C20FA6">
        <w:t xml:space="preserve"> mid</w:t>
      </w:r>
      <w:r w:rsidRPr="007B1870">
        <w:t>day check on the residents he works with. Joe enters Mary’s room and assesses her catheter and drainage bag, touching it in the process. He notices that Mary’s bag needs emptying and leav</w:t>
      </w:r>
      <w:r w:rsidR="002D2F74">
        <w:t>es the room to gather supplies.</w:t>
      </w:r>
    </w:p>
    <w:p w14:paraId="14A74B00" w14:textId="77777777" w:rsidR="00081D53" w:rsidRPr="00081D53" w:rsidRDefault="00081D53" w:rsidP="00081D53">
      <w:pPr>
        <w:pStyle w:val="ListParagraph"/>
        <w:ind w:left="1350" w:hanging="990"/>
        <w:rPr>
          <w:b/>
        </w:rPr>
      </w:pPr>
      <w:r>
        <w:rPr>
          <w:b/>
          <w:color w:val="C00000"/>
        </w:rPr>
        <w:t>ANSWER</w:t>
      </w:r>
      <w:r w:rsidRPr="00E234DB">
        <w:rPr>
          <w:b/>
          <w:color w:val="C00000"/>
        </w:rPr>
        <w:t>:</w:t>
      </w:r>
      <w:r>
        <w:rPr>
          <w:b/>
          <w:color w:val="C00000"/>
        </w:rPr>
        <w:tab/>
      </w:r>
      <w:r w:rsidRPr="00081D53">
        <w:rPr>
          <w:color w:val="C00000"/>
        </w:rPr>
        <w:t>Joe should always perform hand hygiene and wear gloves before touching and assessing indwelling urinary catheters and/or drainage bags. Also, Joe should also always perform hand</w:t>
      </w:r>
      <w:bookmarkStart w:id="0" w:name="_GoBack"/>
      <w:bookmarkEnd w:id="0"/>
      <w:r w:rsidRPr="00081D53">
        <w:rPr>
          <w:color w:val="C00000"/>
        </w:rPr>
        <w:t xml:space="preserve"> hygiene after touching and assessing indwelling urinary catheters and/or drainage bags.</w:t>
      </w:r>
    </w:p>
    <w:p w14:paraId="70F50A9A" w14:textId="0368B563" w:rsidR="009A22F6" w:rsidRDefault="00503638" w:rsidP="00081D53">
      <w:pPr>
        <w:numPr>
          <w:ilvl w:val="0"/>
          <w:numId w:val="3"/>
        </w:numPr>
        <w:tabs>
          <w:tab w:val="clear" w:pos="720"/>
        </w:tabs>
        <w:spacing w:after="120"/>
        <w:ind w:left="360"/>
      </w:pPr>
      <w:r w:rsidRPr="00081D53">
        <w:rPr>
          <w:b/>
        </w:rPr>
        <w:t>Determine the catheter care error.</w:t>
      </w:r>
      <w:r w:rsidRPr="007B1870">
        <w:t xml:space="preserve"> Sue Me, a CNA at Sunny Lane</w:t>
      </w:r>
      <w:r w:rsidR="00C20FA6">
        <w:t xml:space="preserve"> Nursing Home, is doing her mid</w:t>
      </w:r>
      <w:r w:rsidRPr="007B1870">
        <w:t>day check on the residents she works with. She performs hand hygiene and dons gloves before entering Bill Board’s room. Sue notices that Bill’s drainage bag needs to be emptied and she places the bag on the elevated table while she gathers the necessary supplies. Sue empties the drainage bag into an unlabeled collection container and discards the urine. Sue discards her gloves and performs hand hygi</w:t>
      </w:r>
      <w:r w:rsidR="00081D53">
        <w:t>ene before leaving Bill’s room.</w:t>
      </w:r>
    </w:p>
    <w:p w14:paraId="03A49A5A" w14:textId="53710C92" w:rsidR="0046365D" w:rsidRPr="009A22F6" w:rsidRDefault="002148C5" w:rsidP="00081D53">
      <w:pPr>
        <w:ind w:left="1350" w:hanging="990"/>
      </w:pPr>
      <w:r w:rsidRPr="00162474">
        <w:rPr>
          <w:noProof/>
          <w:sz w:val="20"/>
        </w:rPr>
        <mc:AlternateContent>
          <mc:Choice Requires="wps">
            <w:drawing>
              <wp:anchor distT="0" distB="0" distL="114300" distR="114300" simplePos="0" relativeHeight="251659264" behindDoc="1" locked="0" layoutInCell="1" allowOverlap="1" wp14:anchorId="249B90F4" wp14:editId="00D64ED0">
                <wp:simplePos x="0" y="0"/>
                <wp:positionH relativeFrom="column">
                  <wp:posOffset>4305595</wp:posOffset>
                </wp:positionH>
                <wp:positionV relativeFrom="paragraph">
                  <wp:posOffset>1953053</wp:posOffset>
                </wp:positionV>
                <wp:extent cx="236093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1054277" w14:textId="1DB99946" w:rsidR="002148C5" w:rsidRPr="002148C5" w:rsidRDefault="002148C5" w:rsidP="002148C5">
                            <w:pPr>
                              <w:spacing w:after="0" w:line="240" w:lineRule="auto"/>
                              <w:jc w:val="right"/>
                              <w:rPr>
                                <w:sz w:val="20"/>
                              </w:rPr>
                            </w:pPr>
                            <w:r w:rsidRPr="002148C5">
                              <w:rPr>
                                <w:sz w:val="20"/>
                              </w:rPr>
                              <w:t>AHRQ Pub. No. 16</w:t>
                            </w:r>
                            <w:r w:rsidR="00AF588A">
                              <w:rPr>
                                <w:sz w:val="20"/>
                              </w:rPr>
                              <w:t>(17)</w:t>
                            </w:r>
                            <w:r w:rsidRPr="002148C5">
                              <w:rPr>
                                <w:sz w:val="20"/>
                              </w:rPr>
                              <w:t>-0003-12-EF</w:t>
                            </w:r>
                          </w:p>
                          <w:p w14:paraId="21D3C997" w14:textId="77149981" w:rsidR="002148C5" w:rsidRPr="002148C5" w:rsidRDefault="00AF588A" w:rsidP="002148C5">
                            <w:pPr>
                              <w:spacing w:after="0" w:line="240" w:lineRule="auto"/>
                              <w:jc w:val="right"/>
                              <w:rPr>
                                <w:sz w:val="20"/>
                              </w:rPr>
                            </w:pPr>
                            <w:r>
                              <w:rPr>
                                <w:sz w:val="20"/>
                              </w:rPr>
                              <w:t>March</w:t>
                            </w:r>
                            <w:r w:rsidR="002148C5" w:rsidRPr="002148C5">
                              <w:rPr>
                                <w:sz w:val="20"/>
                              </w:rPr>
                              <w:t xml:space="preserve"> 201</w:t>
                            </w:r>
                            <w:r>
                              <w:rPr>
                                <w:sz w:val="20"/>
                              </w:rPr>
                              <w:t>7</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pt;margin-top:153.8pt;width:185.9pt;height:110.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ZDAIAAPM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" filled="f" stroked="f">
                <v:textbox style="mso-fit-shape-to-text:t">
                  <w:txbxContent>
                    <w:p w14:paraId="61054277" w14:textId="1DB99946" w:rsidR="002148C5" w:rsidRPr="002148C5" w:rsidRDefault="002148C5" w:rsidP="002148C5">
                      <w:pPr>
                        <w:spacing w:after="0" w:line="240" w:lineRule="auto"/>
                        <w:jc w:val="right"/>
                        <w:rPr>
                          <w:sz w:val="20"/>
                        </w:rPr>
                      </w:pPr>
                      <w:r w:rsidRPr="002148C5">
                        <w:rPr>
                          <w:sz w:val="20"/>
                        </w:rPr>
                        <w:t>AHRQ Pub. No. 16</w:t>
                      </w:r>
                      <w:r w:rsidR="00AF588A">
                        <w:rPr>
                          <w:sz w:val="20"/>
                        </w:rPr>
                        <w:t>(17)</w:t>
                      </w:r>
                      <w:r w:rsidRPr="002148C5">
                        <w:rPr>
                          <w:sz w:val="20"/>
                        </w:rPr>
                        <w:t>-0003-12-EF</w:t>
                      </w:r>
                    </w:p>
                    <w:p w14:paraId="21D3C997" w14:textId="77149981" w:rsidR="002148C5" w:rsidRPr="002148C5" w:rsidRDefault="00AF588A" w:rsidP="002148C5">
                      <w:pPr>
                        <w:spacing w:after="0" w:line="240" w:lineRule="auto"/>
                        <w:jc w:val="right"/>
                        <w:rPr>
                          <w:sz w:val="20"/>
                        </w:rPr>
                      </w:pPr>
                      <w:r>
                        <w:rPr>
                          <w:sz w:val="20"/>
                        </w:rPr>
                        <w:t>March</w:t>
                      </w:r>
                      <w:r w:rsidR="002148C5" w:rsidRPr="002148C5">
                        <w:rPr>
                          <w:sz w:val="20"/>
                        </w:rPr>
                        <w:t xml:space="preserve"> 201</w:t>
                      </w:r>
                      <w:r>
                        <w:rPr>
                          <w:sz w:val="20"/>
                        </w:rPr>
                        <w:t>7</w:t>
                      </w:r>
                    </w:p>
                  </w:txbxContent>
                </v:textbox>
              </v:shape>
            </w:pict>
          </mc:Fallback>
        </mc:AlternateContent>
      </w:r>
      <w:r w:rsidR="00081D53">
        <w:rPr>
          <w:b/>
          <w:color w:val="C00000"/>
        </w:rPr>
        <w:t>ANSWER</w:t>
      </w:r>
      <w:r w:rsidR="00081D53" w:rsidRPr="00E234DB">
        <w:rPr>
          <w:b/>
          <w:color w:val="C00000"/>
        </w:rPr>
        <w:t>:</w:t>
      </w:r>
      <w:r w:rsidR="00081D53">
        <w:rPr>
          <w:b/>
          <w:color w:val="C00000"/>
        </w:rPr>
        <w:tab/>
      </w:r>
      <w:r w:rsidR="00081D53" w:rsidRPr="00E234DB">
        <w:rPr>
          <w:color w:val="C00000"/>
        </w:rPr>
        <w:t xml:space="preserve">Sue Me did a good job performing hand hygiene and donning gloves before assessing Mr. Board’s catheter. However, Sue Me should not have placed the drainage bag on </w:t>
      </w:r>
      <w:r w:rsidR="00E87281">
        <w:rPr>
          <w:color w:val="C00000"/>
        </w:rPr>
        <w:t xml:space="preserve">the </w:t>
      </w:r>
      <w:r w:rsidR="00081D53" w:rsidRPr="00E234DB">
        <w:rPr>
          <w:color w:val="C00000"/>
        </w:rPr>
        <w:t>table. It is important that the drainage bag is never placed above the height of the resident’s bladder. Sue Me should also have written a resident</w:t>
      </w:r>
      <w:r w:rsidR="00E87281">
        <w:rPr>
          <w:color w:val="C00000"/>
        </w:rPr>
        <w:t>-</w:t>
      </w:r>
      <w:r w:rsidR="00081D53" w:rsidRPr="00E234DB">
        <w:rPr>
          <w:color w:val="C00000"/>
        </w:rPr>
        <w:t>identifier and implementation date on the urine collection container.</w:t>
      </w:r>
      <w:r w:rsidRPr="002148C5">
        <w:rPr>
          <w:noProof/>
          <w:sz w:val="20"/>
        </w:rPr>
        <w:t xml:space="preserve"> </w:t>
      </w:r>
    </w:p>
    <w:sectPr w:rsidR="0046365D" w:rsidRPr="009A22F6" w:rsidSect="00AF588A">
      <w:footerReference w:type="default" r:id="rId9"/>
      <w:headerReference w:type="first" r:id="rId10"/>
      <w:footerReference w:type="first" r:id="rId11"/>
      <w:pgSz w:w="12240" w:h="15840" w:code="1"/>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8146E" w14:textId="77777777" w:rsidR="000F4863" w:rsidRDefault="000F4863" w:rsidP="009F5A80">
      <w:pPr>
        <w:spacing w:after="0" w:line="240" w:lineRule="auto"/>
      </w:pPr>
      <w:r>
        <w:separator/>
      </w:r>
    </w:p>
  </w:endnote>
  <w:endnote w:type="continuationSeparator" w:id="0">
    <w:p w14:paraId="1AB1EA75" w14:textId="77777777" w:rsidR="000F4863" w:rsidRDefault="000F4863" w:rsidP="009F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A139" w14:textId="72C2295C" w:rsidR="009A22F6" w:rsidRPr="005E3388" w:rsidRDefault="009A22F6" w:rsidP="00AF588A">
    <w:pPr>
      <w:pStyle w:val="Footer"/>
      <w:tabs>
        <w:tab w:val="clear" w:pos="4680"/>
        <w:tab w:val="clear" w:pos="9360"/>
        <w:tab w:val="right" w:pos="10350"/>
      </w:tabs>
      <w:ind w:left="-720" w:right="-1170"/>
      <w:rPr>
        <w:color w:val="FFFFFF" w:themeColor="background1"/>
      </w:rPr>
    </w:pPr>
    <w:r w:rsidRPr="00E43600">
      <w:rPr>
        <w:noProof/>
      </w:rPr>
      <w:drawing>
        <wp:anchor distT="0" distB="0" distL="114300" distR="114300" simplePos="0" relativeHeight="251671552" behindDoc="1" locked="0" layoutInCell="1" allowOverlap="1" wp14:anchorId="51466ADA" wp14:editId="1C40411E">
          <wp:simplePos x="0" y="0"/>
          <wp:positionH relativeFrom="column">
            <wp:posOffset>-3517900</wp:posOffset>
          </wp:positionH>
          <wp:positionV relativeFrom="paragraph">
            <wp:posOffset>-304637</wp:posOffset>
          </wp:positionV>
          <wp:extent cx="10391140" cy="638175"/>
          <wp:effectExtent l="0" t="0" r="0" b="9525"/>
          <wp:wrapNone/>
          <wp:docPr id="14" name="Picture 14"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11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388">
      <w:t xml:space="preserve">AHRQ Safety Program for </w:t>
    </w:r>
    <w:r>
      <w:t>Long-Term Care: HAIs/CAUTI</w:t>
    </w:r>
    <w:r>
      <w:rPr>
        <w:color w:val="FFFFFF" w:themeColor="background1"/>
      </w:rPr>
      <w:tab/>
    </w:r>
    <w:r w:rsidR="00AF588A">
      <w:rPr>
        <w:color w:val="FFFFFF" w:themeColor="background1"/>
      </w:rPr>
      <w:t xml:space="preserve">     </w:t>
    </w:r>
    <w:r w:rsidR="002148C5">
      <w:rPr>
        <w:color w:val="FFFFFF" w:themeColor="background1"/>
      </w:rPr>
      <w:t>Catheter Care/Maint</w:t>
    </w:r>
    <w:r w:rsidR="00AF588A">
      <w:rPr>
        <w:color w:val="FFFFFF" w:themeColor="background1"/>
      </w:rPr>
      <w:t>e</w:t>
    </w:r>
    <w:r w:rsidR="002148C5">
      <w:rPr>
        <w:color w:val="FFFFFF" w:themeColor="background1"/>
      </w:rPr>
      <w:t xml:space="preserve">nance Quiz Key </w:t>
    </w:r>
    <w:r w:rsidR="002148C5">
      <w:rPr>
        <w:rFonts w:cs="Aharoni" w:hint="cs"/>
        <w:color w:val="FFFFFF" w:themeColor="background1"/>
        <w:rtl/>
        <w:lang w:bidi="he-IL"/>
      </w:rPr>
      <w:t>׀</w:t>
    </w:r>
    <w:r w:rsidR="00081D53">
      <w:rPr>
        <w:color w:val="FFFFFF" w:themeColor="background1"/>
      </w:rPr>
      <w:t xml:space="preserve"> </w:t>
    </w:r>
    <w:r w:rsidRPr="005E3388">
      <w:rPr>
        <w:color w:val="FFFFFF" w:themeColor="background1"/>
      </w:rPr>
      <w:fldChar w:fldCharType="begin"/>
    </w:r>
    <w:r w:rsidRPr="005E3388">
      <w:rPr>
        <w:color w:val="FFFFFF" w:themeColor="background1"/>
      </w:rPr>
      <w:instrText xml:space="preserve"> PAGE   \* MERGEFORMAT </w:instrText>
    </w:r>
    <w:r w:rsidRPr="005E3388">
      <w:rPr>
        <w:color w:val="FFFFFF" w:themeColor="background1"/>
      </w:rPr>
      <w:fldChar w:fldCharType="separate"/>
    </w:r>
    <w:r w:rsidR="008A7B22">
      <w:rPr>
        <w:noProof/>
        <w:color w:val="FFFFFF" w:themeColor="background1"/>
      </w:rPr>
      <w:t>2</w:t>
    </w:r>
    <w:r w:rsidRPr="005E3388">
      <w:rPr>
        <w:noProof/>
        <w:color w:val="FFFFFF" w:themeColor="background1"/>
      </w:rPr>
      <w:fldChar w:fldCharType="end"/>
    </w:r>
  </w:p>
  <w:p w14:paraId="5E8AE8D0" w14:textId="77777777" w:rsidR="009A22F6" w:rsidRDefault="009A22F6" w:rsidP="009A22F6">
    <w:pPr>
      <w:pStyle w:val="Footer"/>
    </w:pPr>
  </w:p>
  <w:p w14:paraId="12125CFD" w14:textId="77777777" w:rsidR="009A22F6" w:rsidRDefault="009A2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676F" w14:textId="36EF990E" w:rsidR="00524F18" w:rsidRDefault="002148C5">
    <w:pPr>
      <w:pStyle w:val="Footer"/>
    </w:pPr>
    <w:r>
      <w:rPr>
        <w:noProof/>
      </w:rPr>
      <w:drawing>
        <wp:anchor distT="0" distB="0" distL="114300" distR="114300" simplePos="0" relativeHeight="251673600" behindDoc="1" locked="0" layoutInCell="1" allowOverlap="1" wp14:anchorId="533F6EAB" wp14:editId="20CF8169">
          <wp:simplePos x="0" y="0"/>
          <wp:positionH relativeFrom="column">
            <wp:posOffset>-963930</wp:posOffset>
          </wp:positionH>
          <wp:positionV relativeFrom="paragraph">
            <wp:posOffset>-659219</wp:posOffset>
          </wp:positionV>
          <wp:extent cx="7851775" cy="743585"/>
          <wp:effectExtent l="0" t="0" r="0" b="0"/>
          <wp:wrapNone/>
          <wp:docPr id="12" name="Picture 12"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HRQ Cover 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775" cy="743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65B54" w14:textId="77777777" w:rsidR="000F4863" w:rsidRDefault="000F4863" w:rsidP="009F5A80">
      <w:pPr>
        <w:spacing w:after="0" w:line="240" w:lineRule="auto"/>
      </w:pPr>
      <w:r>
        <w:separator/>
      </w:r>
    </w:p>
  </w:footnote>
  <w:footnote w:type="continuationSeparator" w:id="0">
    <w:p w14:paraId="353E1525" w14:textId="77777777" w:rsidR="000F4863" w:rsidRDefault="000F4863" w:rsidP="009F5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6700" w14:textId="77777777" w:rsidR="009A22F6" w:rsidRPr="005022FA" w:rsidRDefault="009A22F6" w:rsidP="009A22F6">
    <w:pPr>
      <w:pStyle w:val="Header"/>
      <w:jc w:val="center"/>
    </w:pPr>
    <w:r w:rsidRPr="005022FA">
      <w:rPr>
        <w:rFonts w:ascii="Arial" w:hAnsi="Arial" w:cs="Arial"/>
        <w:b/>
        <w:color w:val="FFFFFF"/>
        <w:sz w:val="36"/>
        <w:szCs w:val="36"/>
      </w:rPr>
      <w:t xml:space="preserve">AHRQ Safety Program for </w:t>
    </w:r>
    <w:r w:rsidRPr="005022FA">
      <w:rPr>
        <w:noProof/>
      </w:rPr>
      <w:drawing>
        <wp:anchor distT="0" distB="0" distL="114300" distR="114300" simplePos="0" relativeHeight="251669504" behindDoc="1" locked="0" layoutInCell="1" allowOverlap="1" wp14:anchorId="22AC4A3B" wp14:editId="46A886FC">
          <wp:simplePos x="0" y="0"/>
          <wp:positionH relativeFrom="column">
            <wp:posOffset>-914400</wp:posOffset>
          </wp:positionH>
          <wp:positionV relativeFrom="paragraph">
            <wp:posOffset>-1009650</wp:posOffset>
          </wp:positionV>
          <wp:extent cx="7802245" cy="2028825"/>
          <wp:effectExtent l="0" t="0" r="8255" b="9525"/>
          <wp:wrapNone/>
          <wp:docPr id="47" name="Picture 4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2028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sz w:val="36"/>
        <w:szCs w:val="36"/>
      </w:rPr>
      <w:t>Long-Term Care: HAIs/CAUTI</w:t>
    </w:r>
  </w:p>
  <w:p w14:paraId="4AE760C9" w14:textId="77777777" w:rsidR="009A22F6" w:rsidRDefault="009A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0E4B"/>
    <w:multiLevelType w:val="hybridMultilevel"/>
    <w:tmpl w:val="0F187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87C225B"/>
    <w:multiLevelType w:val="hybridMultilevel"/>
    <w:tmpl w:val="3DEABD8C"/>
    <w:lvl w:ilvl="0" w:tplc="0409000F">
      <w:start w:val="1"/>
      <w:numFmt w:val="decimal"/>
      <w:lvlText w:val="%1."/>
      <w:lvlJc w:val="left"/>
      <w:pPr>
        <w:tabs>
          <w:tab w:val="num" w:pos="720"/>
        </w:tabs>
        <w:ind w:left="720" w:hanging="360"/>
      </w:pPr>
      <w:rPr>
        <w:rFonts w:hint="default"/>
      </w:rPr>
    </w:lvl>
    <w:lvl w:ilvl="1" w:tplc="F0BE5F50">
      <w:start w:val="1"/>
      <w:numFmt w:val="bullet"/>
      <w:lvlText w:val="•"/>
      <w:lvlJc w:val="left"/>
      <w:pPr>
        <w:tabs>
          <w:tab w:val="num" w:pos="1440"/>
        </w:tabs>
        <w:ind w:left="1440" w:hanging="360"/>
      </w:pPr>
      <w:rPr>
        <w:rFonts w:ascii="Arial" w:hAnsi="Arial" w:hint="default"/>
      </w:rPr>
    </w:lvl>
    <w:lvl w:ilvl="2" w:tplc="DDFA3FA6" w:tentative="1">
      <w:start w:val="1"/>
      <w:numFmt w:val="bullet"/>
      <w:lvlText w:val="•"/>
      <w:lvlJc w:val="left"/>
      <w:pPr>
        <w:tabs>
          <w:tab w:val="num" w:pos="2160"/>
        </w:tabs>
        <w:ind w:left="2160" w:hanging="360"/>
      </w:pPr>
      <w:rPr>
        <w:rFonts w:ascii="Arial" w:hAnsi="Arial" w:hint="default"/>
      </w:rPr>
    </w:lvl>
    <w:lvl w:ilvl="3" w:tplc="356866A8" w:tentative="1">
      <w:start w:val="1"/>
      <w:numFmt w:val="bullet"/>
      <w:lvlText w:val="•"/>
      <w:lvlJc w:val="left"/>
      <w:pPr>
        <w:tabs>
          <w:tab w:val="num" w:pos="2880"/>
        </w:tabs>
        <w:ind w:left="2880" w:hanging="360"/>
      </w:pPr>
      <w:rPr>
        <w:rFonts w:ascii="Arial" w:hAnsi="Arial" w:hint="default"/>
      </w:rPr>
    </w:lvl>
    <w:lvl w:ilvl="4" w:tplc="CD2214A2" w:tentative="1">
      <w:start w:val="1"/>
      <w:numFmt w:val="bullet"/>
      <w:lvlText w:val="•"/>
      <w:lvlJc w:val="left"/>
      <w:pPr>
        <w:tabs>
          <w:tab w:val="num" w:pos="3600"/>
        </w:tabs>
        <w:ind w:left="3600" w:hanging="360"/>
      </w:pPr>
      <w:rPr>
        <w:rFonts w:ascii="Arial" w:hAnsi="Arial" w:hint="default"/>
      </w:rPr>
    </w:lvl>
    <w:lvl w:ilvl="5" w:tplc="EB96696E" w:tentative="1">
      <w:start w:val="1"/>
      <w:numFmt w:val="bullet"/>
      <w:lvlText w:val="•"/>
      <w:lvlJc w:val="left"/>
      <w:pPr>
        <w:tabs>
          <w:tab w:val="num" w:pos="4320"/>
        </w:tabs>
        <w:ind w:left="4320" w:hanging="360"/>
      </w:pPr>
      <w:rPr>
        <w:rFonts w:ascii="Arial" w:hAnsi="Arial" w:hint="default"/>
      </w:rPr>
    </w:lvl>
    <w:lvl w:ilvl="6" w:tplc="03FAFE04" w:tentative="1">
      <w:start w:val="1"/>
      <w:numFmt w:val="bullet"/>
      <w:lvlText w:val="•"/>
      <w:lvlJc w:val="left"/>
      <w:pPr>
        <w:tabs>
          <w:tab w:val="num" w:pos="5040"/>
        </w:tabs>
        <w:ind w:left="5040" w:hanging="360"/>
      </w:pPr>
      <w:rPr>
        <w:rFonts w:ascii="Arial" w:hAnsi="Arial" w:hint="default"/>
      </w:rPr>
    </w:lvl>
    <w:lvl w:ilvl="7" w:tplc="66CAA8E0" w:tentative="1">
      <w:start w:val="1"/>
      <w:numFmt w:val="bullet"/>
      <w:lvlText w:val="•"/>
      <w:lvlJc w:val="left"/>
      <w:pPr>
        <w:tabs>
          <w:tab w:val="num" w:pos="5760"/>
        </w:tabs>
        <w:ind w:left="5760" w:hanging="360"/>
      </w:pPr>
      <w:rPr>
        <w:rFonts w:ascii="Arial" w:hAnsi="Arial" w:hint="default"/>
      </w:rPr>
    </w:lvl>
    <w:lvl w:ilvl="8" w:tplc="36D4D1C8" w:tentative="1">
      <w:start w:val="1"/>
      <w:numFmt w:val="bullet"/>
      <w:lvlText w:val="•"/>
      <w:lvlJc w:val="left"/>
      <w:pPr>
        <w:tabs>
          <w:tab w:val="num" w:pos="6480"/>
        </w:tabs>
        <w:ind w:left="6480" w:hanging="360"/>
      </w:pPr>
      <w:rPr>
        <w:rFonts w:ascii="Arial" w:hAnsi="Arial" w:hint="default"/>
      </w:rPr>
    </w:lvl>
  </w:abstractNum>
  <w:abstractNum w:abstractNumId="2">
    <w:nsid w:val="47AF582E"/>
    <w:multiLevelType w:val="hybridMultilevel"/>
    <w:tmpl w:val="96F85658"/>
    <w:lvl w:ilvl="0" w:tplc="044053F0">
      <w:start w:val="1"/>
      <w:numFmt w:val="decimal"/>
      <w:lvlText w:val="%1."/>
      <w:lvlJc w:val="left"/>
      <w:pPr>
        <w:ind w:left="1170" w:hanging="360"/>
      </w:pPr>
      <w:rPr>
        <w:b w:val="0"/>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38"/>
    <w:rsid w:val="00056314"/>
    <w:rsid w:val="00081D53"/>
    <w:rsid w:val="000C77FB"/>
    <w:rsid w:val="000E0F7B"/>
    <w:rsid w:val="000F4863"/>
    <w:rsid w:val="001235F3"/>
    <w:rsid w:val="001C22BF"/>
    <w:rsid w:val="001F453E"/>
    <w:rsid w:val="002148C5"/>
    <w:rsid w:val="002745D9"/>
    <w:rsid w:val="00286DF0"/>
    <w:rsid w:val="002D2F74"/>
    <w:rsid w:val="002F642C"/>
    <w:rsid w:val="00347D04"/>
    <w:rsid w:val="00385C59"/>
    <w:rsid w:val="00434B5A"/>
    <w:rsid w:val="0046365D"/>
    <w:rsid w:val="00467B14"/>
    <w:rsid w:val="00491F90"/>
    <w:rsid w:val="004A5B15"/>
    <w:rsid w:val="00503638"/>
    <w:rsid w:val="00524F18"/>
    <w:rsid w:val="0052653F"/>
    <w:rsid w:val="006023FB"/>
    <w:rsid w:val="00630B3B"/>
    <w:rsid w:val="006519E8"/>
    <w:rsid w:val="006F33E0"/>
    <w:rsid w:val="00776BAB"/>
    <w:rsid w:val="007A4B61"/>
    <w:rsid w:val="00844105"/>
    <w:rsid w:val="008A7B22"/>
    <w:rsid w:val="008C67B0"/>
    <w:rsid w:val="00941F96"/>
    <w:rsid w:val="00980D2C"/>
    <w:rsid w:val="009A22F6"/>
    <w:rsid w:val="009B1E34"/>
    <w:rsid w:val="009F2946"/>
    <w:rsid w:val="009F5A80"/>
    <w:rsid w:val="00A05F04"/>
    <w:rsid w:val="00A23063"/>
    <w:rsid w:val="00A6131B"/>
    <w:rsid w:val="00AF588A"/>
    <w:rsid w:val="00B778B5"/>
    <w:rsid w:val="00C20FA6"/>
    <w:rsid w:val="00C91272"/>
    <w:rsid w:val="00D944ED"/>
    <w:rsid w:val="00E451B2"/>
    <w:rsid w:val="00E505F7"/>
    <w:rsid w:val="00E87281"/>
    <w:rsid w:val="00F10707"/>
    <w:rsid w:val="00F2523F"/>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EB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3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91F90"/>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91F90"/>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1F90"/>
    <w:pPr>
      <w:keepNext/>
      <w:keepLines/>
      <w:spacing w:before="40" w:after="0"/>
      <w:outlineLvl w:val="2"/>
    </w:pPr>
    <w:rPr>
      <w:rFonts w:ascii="Cambria" w:eastAsiaTheme="majorEastAsia" w:hAnsi="Cambria"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80"/>
  </w:style>
  <w:style w:type="paragraph" w:styleId="Footer">
    <w:name w:val="footer"/>
    <w:basedOn w:val="Normal"/>
    <w:link w:val="FooterChar"/>
    <w:uiPriority w:val="99"/>
    <w:unhideWhenUsed/>
    <w:rsid w:val="009F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80"/>
  </w:style>
  <w:style w:type="paragraph" w:styleId="BalloonText">
    <w:name w:val="Balloon Text"/>
    <w:basedOn w:val="Normal"/>
    <w:link w:val="BalloonTextChar"/>
    <w:uiPriority w:val="99"/>
    <w:semiHidden/>
    <w:unhideWhenUsed/>
    <w:rsid w:val="009F5A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A80"/>
    <w:rPr>
      <w:rFonts w:ascii="Tahoma" w:hAnsi="Tahoma" w:cs="Tahoma"/>
      <w:sz w:val="16"/>
      <w:szCs w:val="16"/>
    </w:rPr>
  </w:style>
  <w:style w:type="character" w:styleId="CommentReference">
    <w:name w:val="annotation reference"/>
    <w:basedOn w:val="DefaultParagraphFont"/>
    <w:uiPriority w:val="99"/>
    <w:semiHidden/>
    <w:unhideWhenUsed/>
    <w:rsid w:val="006F33E0"/>
    <w:rPr>
      <w:sz w:val="16"/>
      <w:szCs w:val="16"/>
    </w:rPr>
  </w:style>
  <w:style w:type="paragraph" w:styleId="CommentText">
    <w:name w:val="annotation text"/>
    <w:basedOn w:val="Normal"/>
    <w:link w:val="CommentTextChar"/>
    <w:uiPriority w:val="99"/>
    <w:semiHidden/>
    <w:unhideWhenUsed/>
    <w:rsid w:val="006F33E0"/>
    <w:pPr>
      <w:spacing w:line="240" w:lineRule="auto"/>
    </w:pPr>
    <w:rPr>
      <w:sz w:val="20"/>
      <w:szCs w:val="20"/>
    </w:rPr>
  </w:style>
  <w:style w:type="character" w:customStyle="1" w:styleId="CommentTextChar">
    <w:name w:val="Comment Text Char"/>
    <w:basedOn w:val="DefaultParagraphFont"/>
    <w:link w:val="CommentText"/>
    <w:uiPriority w:val="99"/>
    <w:semiHidden/>
    <w:rsid w:val="006F33E0"/>
  </w:style>
  <w:style w:type="paragraph" w:styleId="CommentSubject">
    <w:name w:val="annotation subject"/>
    <w:basedOn w:val="CommentText"/>
    <w:next w:val="CommentText"/>
    <w:link w:val="CommentSubjectChar"/>
    <w:uiPriority w:val="99"/>
    <w:semiHidden/>
    <w:unhideWhenUsed/>
    <w:rsid w:val="006F33E0"/>
    <w:rPr>
      <w:b/>
      <w:bCs/>
    </w:rPr>
  </w:style>
  <w:style w:type="character" w:customStyle="1" w:styleId="CommentSubjectChar">
    <w:name w:val="Comment Subject Char"/>
    <w:basedOn w:val="CommentTextChar"/>
    <w:link w:val="CommentSubject"/>
    <w:uiPriority w:val="99"/>
    <w:semiHidden/>
    <w:rsid w:val="006F33E0"/>
    <w:rPr>
      <w:b/>
      <w:bCs/>
    </w:rPr>
  </w:style>
  <w:style w:type="character" w:customStyle="1" w:styleId="Heading1Char">
    <w:name w:val="Heading 1 Char"/>
    <w:basedOn w:val="DefaultParagraphFont"/>
    <w:link w:val="Heading1"/>
    <w:uiPriority w:val="9"/>
    <w:rsid w:val="00491F90"/>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491F90"/>
    <w:rPr>
      <w:rFonts w:ascii="Cambria" w:eastAsiaTheme="majorEastAsia" w:hAnsi="Cambria" w:cstheme="majorBidi"/>
      <w:b/>
      <w:color w:val="2E74B5" w:themeColor="accent1" w:themeShade="BF"/>
      <w:sz w:val="26"/>
      <w:szCs w:val="26"/>
    </w:rPr>
  </w:style>
  <w:style w:type="character" w:customStyle="1" w:styleId="Heading3Char">
    <w:name w:val="Heading 3 Char"/>
    <w:basedOn w:val="DefaultParagraphFont"/>
    <w:link w:val="Heading3"/>
    <w:uiPriority w:val="9"/>
    <w:rsid w:val="00491F90"/>
    <w:rPr>
      <w:rFonts w:ascii="Cambria" w:eastAsiaTheme="majorEastAsia" w:hAnsi="Cambria" w:cstheme="majorBidi"/>
      <w:b/>
      <w:color w:val="1F4D78" w:themeColor="accent1" w:themeShade="7F"/>
      <w:sz w:val="24"/>
      <w:szCs w:val="24"/>
    </w:rPr>
  </w:style>
  <w:style w:type="paragraph" w:styleId="ListParagraph">
    <w:name w:val="List Paragraph"/>
    <w:basedOn w:val="Normal"/>
    <w:uiPriority w:val="34"/>
    <w:qFormat/>
    <w:rsid w:val="00491F90"/>
    <w:pPr>
      <w:ind w:left="720"/>
      <w:contextualSpacing/>
    </w:pPr>
  </w:style>
  <w:style w:type="paragraph" w:styleId="EndnoteText">
    <w:name w:val="endnote text"/>
    <w:basedOn w:val="Normal"/>
    <w:link w:val="EndnoteTextChar"/>
    <w:uiPriority w:val="99"/>
    <w:semiHidden/>
    <w:unhideWhenUsed/>
    <w:rsid w:val="0049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F90"/>
  </w:style>
  <w:style w:type="character" w:styleId="EndnoteReference">
    <w:name w:val="endnote reference"/>
    <w:basedOn w:val="DefaultParagraphFont"/>
    <w:uiPriority w:val="99"/>
    <w:semiHidden/>
    <w:unhideWhenUsed/>
    <w:rsid w:val="00491F90"/>
    <w:rPr>
      <w:vertAlign w:val="superscript"/>
    </w:rPr>
  </w:style>
  <w:style w:type="character" w:styleId="Hyperlink">
    <w:name w:val="Hyperlink"/>
    <w:basedOn w:val="DefaultParagraphFont"/>
    <w:uiPriority w:val="99"/>
    <w:unhideWhenUsed/>
    <w:rsid w:val="00491F90"/>
    <w:rPr>
      <w:color w:val="0563C1" w:themeColor="hyperlink"/>
      <w:u w:val="single"/>
    </w:rPr>
  </w:style>
  <w:style w:type="character" w:styleId="FollowedHyperlink">
    <w:name w:val="FollowedHyperlink"/>
    <w:basedOn w:val="DefaultParagraphFont"/>
    <w:uiPriority w:val="99"/>
    <w:semiHidden/>
    <w:unhideWhenUsed/>
    <w:rsid w:val="00491F90"/>
    <w:rPr>
      <w:color w:val="954F72" w:themeColor="followedHyperlink"/>
      <w:u w:val="single"/>
    </w:rPr>
  </w:style>
  <w:style w:type="paragraph" w:styleId="Title">
    <w:name w:val="Title"/>
    <w:basedOn w:val="Normal"/>
    <w:next w:val="Normal"/>
    <w:link w:val="TitleChar"/>
    <w:uiPriority w:val="10"/>
    <w:qFormat/>
    <w:rsid w:val="00E505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5F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3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91F90"/>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91F90"/>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1F90"/>
    <w:pPr>
      <w:keepNext/>
      <w:keepLines/>
      <w:spacing w:before="40" w:after="0"/>
      <w:outlineLvl w:val="2"/>
    </w:pPr>
    <w:rPr>
      <w:rFonts w:ascii="Cambria" w:eastAsiaTheme="majorEastAsia" w:hAnsi="Cambria"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80"/>
  </w:style>
  <w:style w:type="paragraph" w:styleId="Footer">
    <w:name w:val="footer"/>
    <w:basedOn w:val="Normal"/>
    <w:link w:val="FooterChar"/>
    <w:uiPriority w:val="99"/>
    <w:unhideWhenUsed/>
    <w:rsid w:val="009F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80"/>
  </w:style>
  <w:style w:type="paragraph" w:styleId="BalloonText">
    <w:name w:val="Balloon Text"/>
    <w:basedOn w:val="Normal"/>
    <w:link w:val="BalloonTextChar"/>
    <w:uiPriority w:val="99"/>
    <w:semiHidden/>
    <w:unhideWhenUsed/>
    <w:rsid w:val="009F5A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A80"/>
    <w:rPr>
      <w:rFonts w:ascii="Tahoma" w:hAnsi="Tahoma" w:cs="Tahoma"/>
      <w:sz w:val="16"/>
      <w:szCs w:val="16"/>
    </w:rPr>
  </w:style>
  <w:style w:type="character" w:styleId="CommentReference">
    <w:name w:val="annotation reference"/>
    <w:basedOn w:val="DefaultParagraphFont"/>
    <w:uiPriority w:val="99"/>
    <w:semiHidden/>
    <w:unhideWhenUsed/>
    <w:rsid w:val="006F33E0"/>
    <w:rPr>
      <w:sz w:val="16"/>
      <w:szCs w:val="16"/>
    </w:rPr>
  </w:style>
  <w:style w:type="paragraph" w:styleId="CommentText">
    <w:name w:val="annotation text"/>
    <w:basedOn w:val="Normal"/>
    <w:link w:val="CommentTextChar"/>
    <w:uiPriority w:val="99"/>
    <w:semiHidden/>
    <w:unhideWhenUsed/>
    <w:rsid w:val="006F33E0"/>
    <w:pPr>
      <w:spacing w:line="240" w:lineRule="auto"/>
    </w:pPr>
    <w:rPr>
      <w:sz w:val="20"/>
      <w:szCs w:val="20"/>
    </w:rPr>
  </w:style>
  <w:style w:type="character" w:customStyle="1" w:styleId="CommentTextChar">
    <w:name w:val="Comment Text Char"/>
    <w:basedOn w:val="DefaultParagraphFont"/>
    <w:link w:val="CommentText"/>
    <w:uiPriority w:val="99"/>
    <w:semiHidden/>
    <w:rsid w:val="006F33E0"/>
  </w:style>
  <w:style w:type="paragraph" w:styleId="CommentSubject">
    <w:name w:val="annotation subject"/>
    <w:basedOn w:val="CommentText"/>
    <w:next w:val="CommentText"/>
    <w:link w:val="CommentSubjectChar"/>
    <w:uiPriority w:val="99"/>
    <w:semiHidden/>
    <w:unhideWhenUsed/>
    <w:rsid w:val="006F33E0"/>
    <w:rPr>
      <w:b/>
      <w:bCs/>
    </w:rPr>
  </w:style>
  <w:style w:type="character" w:customStyle="1" w:styleId="CommentSubjectChar">
    <w:name w:val="Comment Subject Char"/>
    <w:basedOn w:val="CommentTextChar"/>
    <w:link w:val="CommentSubject"/>
    <w:uiPriority w:val="99"/>
    <w:semiHidden/>
    <w:rsid w:val="006F33E0"/>
    <w:rPr>
      <w:b/>
      <w:bCs/>
    </w:rPr>
  </w:style>
  <w:style w:type="character" w:customStyle="1" w:styleId="Heading1Char">
    <w:name w:val="Heading 1 Char"/>
    <w:basedOn w:val="DefaultParagraphFont"/>
    <w:link w:val="Heading1"/>
    <w:uiPriority w:val="9"/>
    <w:rsid w:val="00491F90"/>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491F90"/>
    <w:rPr>
      <w:rFonts w:ascii="Cambria" w:eastAsiaTheme="majorEastAsia" w:hAnsi="Cambria" w:cstheme="majorBidi"/>
      <w:b/>
      <w:color w:val="2E74B5" w:themeColor="accent1" w:themeShade="BF"/>
      <w:sz w:val="26"/>
      <w:szCs w:val="26"/>
    </w:rPr>
  </w:style>
  <w:style w:type="character" w:customStyle="1" w:styleId="Heading3Char">
    <w:name w:val="Heading 3 Char"/>
    <w:basedOn w:val="DefaultParagraphFont"/>
    <w:link w:val="Heading3"/>
    <w:uiPriority w:val="9"/>
    <w:rsid w:val="00491F90"/>
    <w:rPr>
      <w:rFonts w:ascii="Cambria" w:eastAsiaTheme="majorEastAsia" w:hAnsi="Cambria" w:cstheme="majorBidi"/>
      <w:b/>
      <w:color w:val="1F4D78" w:themeColor="accent1" w:themeShade="7F"/>
      <w:sz w:val="24"/>
      <w:szCs w:val="24"/>
    </w:rPr>
  </w:style>
  <w:style w:type="paragraph" w:styleId="ListParagraph">
    <w:name w:val="List Paragraph"/>
    <w:basedOn w:val="Normal"/>
    <w:uiPriority w:val="34"/>
    <w:qFormat/>
    <w:rsid w:val="00491F90"/>
    <w:pPr>
      <w:ind w:left="720"/>
      <w:contextualSpacing/>
    </w:pPr>
  </w:style>
  <w:style w:type="paragraph" w:styleId="EndnoteText">
    <w:name w:val="endnote text"/>
    <w:basedOn w:val="Normal"/>
    <w:link w:val="EndnoteTextChar"/>
    <w:uiPriority w:val="99"/>
    <w:semiHidden/>
    <w:unhideWhenUsed/>
    <w:rsid w:val="0049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F90"/>
  </w:style>
  <w:style w:type="character" w:styleId="EndnoteReference">
    <w:name w:val="endnote reference"/>
    <w:basedOn w:val="DefaultParagraphFont"/>
    <w:uiPriority w:val="99"/>
    <w:semiHidden/>
    <w:unhideWhenUsed/>
    <w:rsid w:val="00491F90"/>
    <w:rPr>
      <w:vertAlign w:val="superscript"/>
    </w:rPr>
  </w:style>
  <w:style w:type="character" w:styleId="Hyperlink">
    <w:name w:val="Hyperlink"/>
    <w:basedOn w:val="DefaultParagraphFont"/>
    <w:uiPriority w:val="99"/>
    <w:unhideWhenUsed/>
    <w:rsid w:val="00491F90"/>
    <w:rPr>
      <w:color w:val="0563C1" w:themeColor="hyperlink"/>
      <w:u w:val="single"/>
    </w:rPr>
  </w:style>
  <w:style w:type="character" w:styleId="FollowedHyperlink">
    <w:name w:val="FollowedHyperlink"/>
    <w:basedOn w:val="DefaultParagraphFont"/>
    <w:uiPriority w:val="99"/>
    <w:semiHidden/>
    <w:unhideWhenUsed/>
    <w:rsid w:val="00491F90"/>
    <w:rPr>
      <w:color w:val="954F72" w:themeColor="followedHyperlink"/>
      <w:u w:val="single"/>
    </w:rPr>
  </w:style>
  <w:style w:type="paragraph" w:styleId="Title">
    <w:name w:val="Title"/>
    <w:basedOn w:val="Normal"/>
    <w:next w:val="Normal"/>
    <w:link w:val="TitleChar"/>
    <w:uiPriority w:val="10"/>
    <w:qFormat/>
    <w:rsid w:val="00E505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5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xternally%20Funded%20Projects\AHRQ\CAUTI-LTC-AHRQ-80321\Content%20Development\AHRQ-Project%20End\Templates\1.HAIs_L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2D49-D78A-4229-B91A-C71D31E0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1.HAIs_LTC.dotx</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Julie</dc:creator>
  <cp:lastModifiedBy>Windows User</cp:lastModifiedBy>
  <cp:revision>2</cp:revision>
  <cp:lastPrinted>2016-09-06T15:07:00Z</cp:lastPrinted>
  <dcterms:created xsi:type="dcterms:W3CDTF">2017-03-08T20:02:00Z</dcterms:created>
  <dcterms:modified xsi:type="dcterms:W3CDTF">2017-03-08T20:02:00Z</dcterms:modified>
</cp:coreProperties>
</file>