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36A" w:rsidRPr="001E45B8" w:rsidRDefault="000E236A" w:rsidP="000E236A">
      <w:pPr>
        <w:spacing w:after="0" w:line="240" w:lineRule="auto"/>
        <w:jc w:val="center"/>
        <w:rPr>
          <w:rFonts w:ascii="Arial" w:hAnsi="Arial" w:cs="Arial"/>
          <w:sz w:val="40"/>
        </w:rPr>
      </w:pPr>
      <w:bookmarkStart w:id="0" w:name="_GoBack"/>
      <w:bookmarkEnd w:id="0"/>
    </w:p>
    <w:p w:rsidR="000E236A" w:rsidRPr="001E45B8" w:rsidRDefault="000E236A" w:rsidP="000E236A">
      <w:pPr>
        <w:spacing w:after="0" w:line="240" w:lineRule="auto"/>
        <w:jc w:val="center"/>
        <w:rPr>
          <w:rFonts w:ascii="Arial" w:hAnsi="Arial" w:cs="Arial"/>
          <w:sz w:val="36"/>
          <w:szCs w:val="36"/>
        </w:rPr>
      </w:pPr>
      <w:r w:rsidRPr="001E45B8">
        <w:rPr>
          <w:rFonts w:ascii="Arial" w:hAnsi="Arial"/>
          <w:sz w:val="36"/>
          <w:szCs w:val="36"/>
        </w:rPr>
        <w:t xml:space="preserve">Ejemplos de soluciones técnicas y adaptativas </w:t>
      </w:r>
    </w:p>
    <w:p w:rsidR="00D96D17" w:rsidRPr="001E45B8" w:rsidRDefault="000E236A" w:rsidP="000E236A">
      <w:pPr>
        <w:spacing w:after="0" w:line="240" w:lineRule="auto"/>
        <w:jc w:val="center"/>
        <w:rPr>
          <w:rStyle w:val="Heading1Char"/>
          <w:rFonts w:eastAsia="Calibri" w:cs="Arial"/>
          <w:szCs w:val="24"/>
        </w:rPr>
      </w:pPr>
      <w:proofErr w:type="gramStart"/>
      <w:r w:rsidRPr="001E45B8">
        <w:rPr>
          <w:rFonts w:ascii="Arial" w:hAnsi="Arial"/>
          <w:sz w:val="36"/>
          <w:szCs w:val="36"/>
        </w:rPr>
        <w:t>para</w:t>
      </w:r>
      <w:proofErr w:type="gramEnd"/>
      <w:r w:rsidRPr="001E45B8">
        <w:rPr>
          <w:rFonts w:ascii="Arial" w:hAnsi="Arial"/>
          <w:sz w:val="36"/>
          <w:szCs w:val="36"/>
        </w:rPr>
        <w:t xml:space="preserve"> el cambio</w:t>
      </w:r>
    </w:p>
    <w:p w:rsidR="000E236A" w:rsidRPr="001E45B8" w:rsidRDefault="000E236A" w:rsidP="00FD1CAC">
      <w:pPr>
        <w:spacing w:after="0" w:line="240" w:lineRule="auto"/>
        <w:rPr>
          <w:rStyle w:val="Heading1Char"/>
          <w:rFonts w:ascii="Times New Roman" w:eastAsia="Calibri" w:hAnsi="Times New Roman"/>
          <w:szCs w:val="24"/>
        </w:rPr>
      </w:pPr>
    </w:p>
    <w:p w:rsidR="00FD1CAC" w:rsidRPr="001E45B8" w:rsidRDefault="00FD1CAC" w:rsidP="00FD1CAC">
      <w:pPr>
        <w:spacing w:after="0" w:line="240" w:lineRule="auto"/>
        <w:rPr>
          <w:sz w:val="22"/>
        </w:rPr>
      </w:pPr>
      <w:r w:rsidRPr="001E45B8">
        <w:rPr>
          <w:rStyle w:val="Heading1Char"/>
          <w:rFonts w:ascii="Times New Roman" w:eastAsia="Calibri" w:hAnsi="Times New Roman"/>
          <w:sz w:val="22"/>
          <w:szCs w:val="22"/>
        </w:rPr>
        <w:t xml:space="preserve">Objetivo: </w:t>
      </w:r>
      <w:r w:rsidRPr="001E45B8">
        <w:rPr>
          <w:rStyle w:val="Heading1Char"/>
          <w:rFonts w:ascii="Times New Roman" w:eastAsia="Calibri" w:hAnsi="Times New Roman"/>
          <w:b w:val="0"/>
          <w:sz w:val="22"/>
          <w:szCs w:val="22"/>
        </w:rPr>
        <w:t>Proporcionarles a los directivos una explicación más detallada de las soluciones técnicas y adaptativas para el cambio.</w:t>
      </w:r>
    </w:p>
    <w:p w:rsidR="00FD1CAC" w:rsidRPr="001E45B8" w:rsidRDefault="00FD1CAC" w:rsidP="00FD1CAC">
      <w:pPr>
        <w:spacing w:after="0" w:line="240" w:lineRule="auto"/>
        <w:rPr>
          <w:rStyle w:val="Heading1Char"/>
          <w:rFonts w:ascii="Times New Roman" w:eastAsia="Calibri" w:hAnsi="Times New Roman"/>
          <w:b w:val="0"/>
          <w:sz w:val="22"/>
          <w:szCs w:val="22"/>
        </w:rPr>
      </w:pPr>
    </w:p>
    <w:p w:rsidR="00FD1CAC" w:rsidRPr="001E45B8" w:rsidRDefault="00FD1CAC" w:rsidP="00FD1CAC">
      <w:pPr>
        <w:spacing w:after="0" w:line="240" w:lineRule="auto"/>
        <w:rPr>
          <w:sz w:val="22"/>
        </w:rPr>
      </w:pPr>
      <w:r w:rsidRPr="001E45B8">
        <w:rPr>
          <w:rStyle w:val="Heading1Char"/>
          <w:rFonts w:ascii="Times New Roman" w:eastAsia="Calibri" w:hAnsi="Times New Roman"/>
          <w:sz w:val="22"/>
          <w:szCs w:val="22"/>
        </w:rPr>
        <w:t>¿Quién debe utilizar esta herramienta?</w:t>
      </w:r>
      <w:r w:rsidRPr="001E45B8">
        <w:rPr>
          <w:b/>
          <w:sz w:val="22"/>
        </w:rPr>
        <w:t xml:space="preserve"> </w:t>
      </w:r>
      <w:r w:rsidRPr="001E45B8">
        <w:rPr>
          <w:sz w:val="22"/>
        </w:rPr>
        <w:t>Los directivos (administrador del centro de cuidados a largo plazo, director de enfermería, director médico, etc.).</w:t>
      </w:r>
    </w:p>
    <w:p w:rsidR="00FD1CAC" w:rsidRPr="001E45B8" w:rsidRDefault="00FD1CAC" w:rsidP="00FD1CAC">
      <w:pPr>
        <w:spacing w:after="0" w:line="240" w:lineRule="auto"/>
        <w:rPr>
          <w:bCs/>
          <w:sz w:val="22"/>
        </w:rPr>
      </w:pPr>
    </w:p>
    <w:p w:rsidR="00FD1CAC" w:rsidRPr="001E45B8" w:rsidRDefault="00FD1CAC" w:rsidP="00FD1CAC">
      <w:pPr>
        <w:spacing w:after="0" w:line="240" w:lineRule="auto"/>
        <w:rPr>
          <w:sz w:val="22"/>
        </w:rPr>
      </w:pPr>
      <w:r w:rsidRPr="001E45B8">
        <w:rPr>
          <w:b/>
          <w:sz w:val="22"/>
        </w:rPr>
        <w:t xml:space="preserve">¿Cómo </w:t>
      </w:r>
      <w:r w:rsidR="00EF5A0C" w:rsidRPr="001E45B8">
        <w:rPr>
          <w:b/>
          <w:sz w:val="22"/>
        </w:rPr>
        <w:t xml:space="preserve">debería usar esta herramienta? </w:t>
      </w:r>
      <w:r w:rsidRPr="001E45B8">
        <w:rPr>
          <w:sz w:val="22"/>
        </w:rPr>
        <w:t>Utilice los ejemplos para entender mejor las soluciones técnicas y adaptativas para el cambio, y para emplear mejor estos tipos de soluciones en su centro.</w:t>
      </w:r>
    </w:p>
    <w:p w:rsidR="000E236A" w:rsidRPr="001E45B8" w:rsidRDefault="000E236A" w:rsidP="00FD1CAC">
      <w:pPr>
        <w:spacing w:after="0" w:line="240" w:lineRule="auto"/>
        <w:rPr>
          <w:sz w:val="22"/>
        </w:rPr>
      </w:pPr>
    </w:p>
    <w:p w:rsidR="00FD1CAC" w:rsidRPr="001E45B8" w:rsidRDefault="00FD1CAC" w:rsidP="00FD1CAC">
      <w:pPr>
        <w:spacing w:after="0" w:line="240" w:lineRule="auto"/>
        <w:rPr>
          <w:sz w:val="22"/>
        </w:rPr>
      </w:pPr>
    </w:p>
    <w:p w:rsidR="000E236A" w:rsidRPr="001E45B8" w:rsidRDefault="000E236A" w:rsidP="000E236A">
      <w:pPr>
        <w:spacing w:line="240" w:lineRule="auto"/>
        <w:jc w:val="center"/>
        <w:rPr>
          <w:b/>
          <w:sz w:val="22"/>
          <w:u w:val="single"/>
        </w:rPr>
      </w:pPr>
      <w:r w:rsidRPr="001E45B8">
        <w:rPr>
          <w:b/>
          <w:sz w:val="22"/>
          <w:u w:val="single"/>
        </w:rPr>
        <w:t>Soluciones técnicas para el cambio</w:t>
      </w:r>
    </w:p>
    <w:p w:rsidR="000E236A" w:rsidRPr="001E45B8" w:rsidRDefault="000E236A" w:rsidP="000E236A">
      <w:pPr>
        <w:spacing w:line="240" w:lineRule="auto"/>
        <w:rPr>
          <w:sz w:val="22"/>
        </w:rPr>
      </w:pPr>
      <w:r w:rsidRPr="001E45B8">
        <w:rPr>
          <w:sz w:val="22"/>
        </w:rPr>
        <w:t>El trabajo técnico incluye las siguientes características:</w:t>
      </w:r>
    </w:p>
    <w:p w:rsidR="000E236A" w:rsidRPr="001E45B8" w:rsidRDefault="000E236A" w:rsidP="000E236A">
      <w:pPr>
        <w:numPr>
          <w:ilvl w:val="0"/>
          <w:numId w:val="14"/>
        </w:numPr>
        <w:spacing w:line="240" w:lineRule="auto"/>
        <w:rPr>
          <w:rFonts w:eastAsia="Times New Roman"/>
          <w:sz w:val="22"/>
        </w:rPr>
      </w:pPr>
      <w:r w:rsidRPr="001E45B8">
        <w:rPr>
          <w:sz w:val="22"/>
        </w:rPr>
        <w:t xml:space="preserve">La definición del problema es clara, y las soluciones potenciales son relativamente sencillas, fáciles de implementar, y requieren un aprendizaje mínimo. </w:t>
      </w:r>
    </w:p>
    <w:p w:rsidR="000E236A" w:rsidRPr="001E45B8" w:rsidRDefault="000E236A" w:rsidP="000E236A">
      <w:pPr>
        <w:numPr>
          <w:ilvl w:val="0"/>
          <w:numId w:val="14"/>
        </w:numPr>
        <w:spacing w:line="240" w:lineRule="auto"/>
        <w:rPr>
          <w:sz w:val="22"/>
        </w:rPr>
      </w:pPr>
      <w:r w:rsidRPr="001E45B8">
        <w:rPr>
          <w:sz w:val="22"/>
        </w:rPr>
        <w:t xml:space="preserve">La responsabilidad de implementar una solución es bastante evidente. </w:t>
      </w:r>
    </w:p>
    <w:p w:rsidR="000E236A" w:rsidRPr="001E45B8" w:rsidRDefault="000E236A" w:rsidP="000E236A">
      <w:pPr>
        <w:numPr>
          <w:ilvl w:val="0"/>
          <w:numId w:val="14"/>
        </w:numPr>
        <w:spacing w:line="240" w:lineRule="auto"/>
        <w:rPr>
          <w:sz w:val="22"/>
        </w:rPr>
      </w:pPr>
      <w:r w:rsidRPr="001E45B8">
        <w:rPr>
          <w:sz w:val="22"/>
        </w:rPr>
        <w:t>Los equipos cuentan con los recursos necesarios.</w:t>
      </w:r>
    </w:p>
    <w:p w:rsidR="000E236A" w:rsidRPr="001E45B8" w:rsidRDefault="000E236A" w:rsidP="000E236A">
      <w:pPr>
        <w:pStyle w:val="ListParagraph"/>
        <w:numPr>
          <w:ilvl w:val="0"/>
          <w:numId w:val="14"/>
        </w:numPr>
        <w:spacing w:line="240" w:lineRule="auto"/>
        <w:rPr>
          <w:sz w:val="22"/>
        </w:rPr>
      </w:pPr>
      <w:r w:rsidRPr="001E45B8">
        <w:rPr>
          <w:sz w:val="22"/>
        </w:rPr>
        <w:t xml:space="preserve">Las soluciones técnicas pueden requerir nuevos procedimientos, capacitación o recopilación de datos. Sin embargo, necesitan cambios culturales o ajustes de actitud muy pequeños para ser exitosas. </w:t>
      </w:r>
    </w:p>
    <w:p w:rsidR="000E236A" w:rsidRPr="001E45B8" w:rsidRDefault="000E236A" w:rsidP="000E236A">
      <w:pPr>
        <w:spacing w:line="240" w:lineRule="auto"/>
        <w:rPr>
          <w:sz w:val="22"/>
        </w:rPr>
      </w:pPr>
      <w:r w:rsidRPr="001E45B8">
        <w:rPr>
          <w:sz w:val="22"/>
        </w:rPr>
        <w:t>Algunos ejemplos de este tipo de trabajo incluyen:</w:t>
      </w:r>
    </w:p>
    <w:p w:rsidR="000E236A" w:rsidRPr="001E45B8" w:rsidRDefault="000E236A" w:rsidP="000E236A">
      <w:pPr>
        <w:numPr>
          <w:ilvl w:val="0"/>
          <w:numId w:val="15"/>
        </w:numPr>
        <w:spacing w:line="240" w:lineRule="auto"/>
        <w:rPr>
          <w:sz w:val="22"/>
        </w:rPr>
      </w:pPr>
      <w:r w:rsidRPr="001E45B8">
        <w:rPr>
          <w:sz w:val="22"/>
        </w:rPr>
        <w:t xml:space="preserve">Garantizar que los equipos cuenten con el personal, el presupuesto, el espacio, los suministros y la autoridad para realizar un trabajo satisfactorio. </w:t>
      </w:r>
    </w:p>
    <w:p w:rsidR="000E236A" w:rsidRPr="001E45B8" w:rsidRDefault="000E236A" w:rsidP="000E236A">
      <w:pPr>
        <w:numPr>
          <w:ilvl w:val="0"/>
          <w:numId w:val="15"/>
        </w:numPr>
        <w:spacing w:line="240" w:lineRule="auto"/>
        <w:rPr>
          <w:sz w:val="22"/>
        </w:rPr>
      </w:pPr>
      <w:r w:rsidRPr="001E45B8">
        <w:rPr>
          <w:sz w:val="22"/>
        </w:rPr>
        <w:t>Facilitar el tiempo y la capacitación adecuados para realizar el trabajo de manera satisfactoria.</w:t>
      </w:r>
    </w:p>
    <w:p w:rsidR="000E236A" w:rsidRPr="001E45B8" w:rsidRDefault="000E236A" w:rsidP="000E236A">
      <w:pPr>
        <w:numPr>
          <w:ilvl w:val="0"/>
          <w:numId w:val="15"/>
        </w:numPr>
        <w:spacing w:line="240" w:lineRule="auto"/>
        <w:rPr>
          <w:sz w:val="22"/>
        </w:rPr>
      </w:pPr>
      <w:r w:rsidRPr="001E45B8">
        <w:rPr>
          <w:sz w:val="22"/>
        </w:rPr>
        <w:t>Trabajar con los integrantes de los equipos para establecer metas y plazos del proyecto.</w:t>
      </w:r>
    </w:p>
    <w:p w:rsidR="000E236A" w:rsidRPr="001E45B8" w:rsidRDefault="000E236A" w:rsidP="000E236A">
      <w:pPr>
        <w:numPr>
          <w:ilvl w:val="0"/>
          <w:numId w:val="15"/>
        </w:numPr>
        <w:spacing w:line="240" w:lineRule="auto"/>
        <w:rPr>
          <w:sz w:val="22"/>
        </w:rPr>
      </w:pPr>
      <w:r w:rsidRPr="001E45B8">
        <w:rPr>
          <w:sz w:val="22"/>
        </w:rPr>
        <w:t>Eliminar cualquier barrera que dificulte el éxito del proyecto.</w:t>
      </w:r>
    </w:p>
    <w:p w:rsidR="000E236A" w:rsidRPr="001E45B8" w:rsidRDefault="000E236A" w:rsidP="000E236A">
      <w:pPr>
        <w:spacing w:line="240" w:lineRule="auto"/>
        <w:jc w:val="center"/>
        <w:rPr>
          <w:b/>
          <w:sz w:val="22"/>
        </w:rPr>
      </w:pPr>
    </w:p>
    <w:p w:rsidR="000E236A" w:rsidRPr="001E45B8" w:rsidRDefault="000E236A" w:rsidP="000E236A">
      <w:pPr>
        <w:spacing w:line="240" w:lineRule="auto"/>
        <w:jc w:val="center"/>
        <w:rPr>
          <w:b/>
          <w:sz w:val="22"/>
          <w:u w:val="single"/>
        </w:rPr>
      </w:pPr>
      <w:r w:rsidRPr="001E45B8">
        <w:rPr>
          <w:sz w:val="22"/>
        </w:rPr>
        <w:br w:type="page"/>
      </w:r>
    </w:p>
    <w:p w:rsidR="000E236A" w:rsidRPr="001E45B8" w:rsidRDefault="000E236A" w:rsidP="000E236A">
      <w:pPr>
        <w:spacing w:line="240" w:lineRule="auto"/>
        <w:jc w:val="center"/>
        <w:rPr>
          <w:b/>
          <w:sz w:val="22"/>
          <w:u w:val="single"/>
        </w:rPr>
      </w:pPr>
      <w:r w:rsidRPr="001E45B8">
        <w:rPr>
          <w:b/>
          <w:sz w:val="22"/>
          <w:u w:val="single"/>
        </w:rPr>
        <w:lastRenderedPageBreak/>
        <w:t>Ejemplos de soluciones técnicas para el cambio en la práctica</w:t>
      </w:r>
    </w:p>
    <w:p w:rsidR="000E236A" w:rsidRPr="001E45B8" w:rsidRDefault="000E236A" w:rsidP="000E236A">
      <w:pPr>
        <w:pStyle w:val="ListParagraph"/>
        <w:numPr>
          <w:ilvl w:val="0"/>
          <w:numId w:val="18"/>
        </w:numPr>
        <w:spacing w:line="240" w:lineRule="auto"/>
        <w:rPr>
          <w:sz w:val="22"/>
        </w:rPr>
      </w:pPr>
      <w:r w:rsidRPr="001E45B8">
        <w:rPr>
          <w:sz w:val="22"/>
        </w:rPr>
        <w:t>En un centro pequeño ubicado en una zona rural, el personal identificó problemas para reclutar a impulsores de proyectos de enfermería para los equipos de seguridad del centro. Ya habían reclutado con éxito a los directivos y necesitaban encontrar profesionales de enfermería que se unieran a los equipos. Debido a los vínculos que tenían los directivos con la administración del centro, el equipo fue capaz de transmitir sus inquietudes a los administradores, que se ocuparon del asunto. Los administradores descubrieron que los profesionales de enfermería no estaban recibiendo comunicaciones importantes sobre capacitación y eventos para promover el trabajo en equipo. Además, tampoc</w:t>
      </w:r>
      <w:r w:rsidR="008425AF" w:rsidRPr="001E45B8">
        <w:rPr>
          <w:sz w:val="22"/>
        </w:rPr>
        <w:t>o podían asistir a muchos de es</w:t>
      </w:r>
      <w:r w:rsidRPr="001E45B8">
        <w:rPr>
          <w:sz w:val="22"/>
        </w:rPr>
        <w:t xml:space="preserve">os eventos debido a su horario de trabajo. </w:t>
      </w:r>
    </w:p>
    <w:p w:rsidR="000E236A" w:rsidRPr="001E45B8" w:rsidRDefault="000E236A" w:rsidP="000E236A">
      <w:pPr>
        <w:spacing w:line="240" w:lineRule="auto"/>
        <w:ind w:left="720"/>
        <w:rPr>
          <w:sz w:val="22"/>
        </w:rPr>
      </w:pPr>
      <w:r w:rsidRPr="001E45B8">
        <w:rPr>
          <w:sz w:val="22"/>
        </w:rPr>
        <w:t>En una solución que combinó el aspecto técnico de la resolución de problemas con la responsabilidad, el centro estableció un sitio de intranet único donde los profesionales de enfermería podían encontrar actualizaciones sobre eventos y reuniones importantes, incluidos aquellos que abordaban iniciativas de calidad y seguridad de los pacientes. Los directivos asumieron la responsabilidad de actualizar el sitio cada 2 semanas. A los pr</w:t>
      </w:r>
      <w:r w:rsidR="00E3582B">
        <w:rPr>
          <w:sz w:val="22"/>
        </w:rPr>
        <w:t>ofesionales de enfermería se les</w:t>
      </w:r>
      <w:r w:rsidRPr="001E45B8">
        <w:rPr>
          <w:sz w:val="22"/>
        </w:rPr>
        <w:t xml:space="preserve"> responsabilizó de revisar el calendario y ya no tuvieron que preocuparse por perderse un mensaje importante por correo electrónico o un aviso relacionado con su participación. El sitio de intranet les permitió a los directivos resolver un problema con un mínimo esfuerzo. </w:t>
      </w:r>
    </w:p>
    <w:p w:rsidR="000E236A" w:rsidRPr="001E45B8" w:rsidRDefault="000E236A" w:rsidP="000E236A">
      <w:pPr>
        <w:pStyle w:val="ListParagraph"/>
        <w:numPr>
          <w:ilvl w:val="0"/>
          <w:numId w:val="18"/>
        </w:numPr>
        <w:spacing w:line="240" w:lineRule="auto"/>
        <w:rPr>
          <w:sz w:val="22"/>
        </w:rPr>
      </w:pPr>
      <w:r w:rsidRPr="001E45B8">
        <w:rPr>
          <w:sz w:val="22"/>
        </w:rPr>
        <w:t>Otro ejemplo de una solución técnica tiene que ver con un problema de seguridad común a muchos centros: la falta de suministros para la colocación y el mantenimiento de catéteres. Para abordar esta cuestión, el equipo de un centro utilizó un carro para guardar todos los suministros necesarios para que un médico clínico le coloque un catéter a un residente de manera segura. El carro también contenía una lista de verificación que el personal debía usar para comprobar que el carro estuviera abastecido con todos los artículos necesarios. Esta solución técnica (el carro y la lista de verificación de suministros) aumentó el sentido de responsabilidad del personal por los materiales necesarios sin necesidad de hacer grandes cambios en el centro.</w:t>
      </w:r>
    </w:p>
    <w:p w:rsidR="000E236A" w:rsidRPr="001E45B8" w:rsidRDefault="000E236A" w:rsidP="000E236A">
      <w:pPr>
        <w:spacing w:line="240" w:lineRule="auto"/>
        <w:jc w:val="center"/>
        <w:rPr>
          <w:b/>
          <w:sz w:val="22"/>
        </w:rPr>
      </w:pPr>
      <w:r w:rsidRPr="001E45B8">
        <w:rPr>
          <w:sz w:val="22"/>
        </w:rPr>
        <w:br w:type="page"/>
      </w:r>
    </w:p>
    <w:p w:rsidR="000E236A" w:rsidRPr="001E45B8" w:rsidRDefault="000E236A" w:rsidP="000E236A">
      <w:pPr>
        <w:spacing w:line="240" w:lineRule="auto"/>
        <w:jc w:val="center"/>
        <w:rPr>
          <w:b/>
          <w:sz w:val="22"/>
        </w:rPr>
      </w:pPr>
    </w:p>
    <w:p w:rsidR="000E236A" w:rsidRPr="001E45B8" w:rsidRDefault="000E236A" w:rsidP="000E236A">
      <w:pPr>
        <w:spacing w:line="240" w:lineRule="auto"/>
        <w:jc w:val="center"/>
        <w:rPr>
          <w:b/>
          <w:sz w:val="22"/>
          <w:u w:val="single"/>
        </w:rPr>
      </w:pPr>
      <w:r w:rsidRPr="001E45B8">
        <w:rPr>
          <w:b/>
          <w:sz w:val="22"/>
          <w:u w:val="single"/>
        </w:rPr>
        <w:t>Soluciones adaptativas para el cambio</w:t>
      </w:r>
    </w:p>
    <w:p w:rsidR="000E236A" w:rsidRPr="001E45B8" w:rsidRDefault="000E236A" w:rsidP="000E236A">
      <w:pPr>
        <w:spacing w:line="240" w:lineRule="auto"/>
        <w:rPr>
          <w:sz w:val="22"/>
        </w:rPr>
      </w:pPr>
      <w:r w:rsidRPr="001E45B8">
        <w:rPr>
          <w:sz w:val="22"/>
        </w:rPr>
        <w:t>Los directivos también deben entender y apoyar el trabajo adaptativo. El trabajo adaptativo incluye las siguientes características:</w:t>
      </w:r>
    </w:p>
    <w:p w:rsidR="000E236A" w:rsidRPr="001E45B8" w:rsidRDefault="000E236A" w:rsidP="000E236A">
      <w:pPr>
        <w:numPr>
          <w:ilvl w:val="0"/>
          <w:numId w:val="16"/>
        </w:numPr>
        <w:spacing w:line="240" w:lineRule="auto"/>
        <w:rPr>
          <w:sz w:val="22"/>
        </w:rPr>
      </w:pPr>
      <w:r w:rsidRPr="001E45B8">
        <w:rPr>
          <w:sz w:val="22"/>
        </w:rPr>
        <w:t xml:space="preserve">Abordar los problemas que requieran un cambio de actitud, de creencia o de comportamiento. </w:t>
      </w:r>
    </w:p>
    <w:p w:rsidR="000E236A" w:rsidRPr="001E45B8" w:rsidRDefault="000E236A" w:rsidP="000E236A">
      <w:pPr>
        <w:numPr>
          <w:ilvl w:val="0"/>
          <w:numId w:val="16"/>
        </w:numPr>
        <w:spacing w:line="240" w:lineRule="auto"/>
        <w:rPr>
          <w:sz w:val="22"/>
        </w:rPr>
      </w:pPr>
      <w:r w:rsidRPr="001E45B8">
        <w:rPr>
          <w:sz w:val="22"/>
        </w:rPr>
        <w:t>Aclarar la toma de decisiones, el manejo de conflictos y los procesos de resolución de problemas.</w:t>
      </w:r>
    </w:p>
    <w:p w:rsidR="000E236A" w:rsidRPr="001E45B8" w:rsidRDefault="000E236A" w:rsidP="000E236A">
      <w:pPr>
        <w:numPr>
          <w:ilvl w:val="0"/>
          <w:numId w:val="16"/>
        </w:numPr>
        <w:spacing w:line="240" w:lineRule="auto"/>
        <w:rPr>
          <w:sz w:val="22"/>
        </w:rPr>
      </w:pPr>
      <w:r w:rsidRPr="001E45B8">
        <w:rPr>
          <w:sz w:val="22"/>
        </w:rPr>
        <w:t>Promover un entorno de respeto mutuo y lograr que el equipo se sienta seguro para hablar sobre sus inquietudes.</w:t>
      </w:r>
    </w:p>
    <w:p w:rsidR="000E236A" w:rsidRPr="001E45B8" w:rsidRDefault="000E236A" w:rsidP="000E236A">
      <w:pPr>
        <w:numPr>
          <w:ilvl w:val="0"/>
          <w:numId w:val="16"/>
        </w:numPr>
        <w:spacing w:line="240" w:lineRule="auto"/>
        <w:rPr>
          <w:sz w:val="22"/>
        </w:rPr>
      </w:pPr>
      <w:r w:rsidRPr="001E45B8">
        <w:rPr>
          <w:sz w:val="22"/>
        </w:rPr>
        <w:t>Ayudar al equipo a utilizar los resultados de una encuesta sobre la cultura de la seguridad para impulsar mejoras.</w:t>
      </w:r>
    </w:p>
    <w:p w:rsidR="000E236A" w:rsidRPr="001E45B8" w:rsidRDefault="000E236A" w:rsidP="000E236A">
      <w:pPr>
        <w:spacing w:line="240" w:lineRule="auto"/>
        <w:rPr>
          <w:sz w:val="22"/>
        </w:rPr>
      </w:pPr>
      <w:r w:rsidRPr="001E45B8">
        <w:rPr>
          <w:sz w:val="22"/>
        </w:rPr>
        <w:t xml:space="preserve">El trabajo adaptativo requiere ajustes culturales en todo el centro. Los directivos eficaces ayudan a las personas a adaptarse al cambio satisfactoriamente reforzando actitudes, creencias y comportamientos que faciliten la iniciativa. </w:t>
      </w:r>
    </w:p>
    <w:p w:rsidR="000E236A" w:rsidRPr="001E45B8" w:rsidRDefault="000E236A" w:rsidP="000E236A">
      <w:pPr>
        <w:pStyle w:val="ListParagraph"/>
        <w:spacing w:line="240" w:lineRule="auto"/>
        <w:jc w:val="center"/>
        <w:rPr>
          <w:b/>
          <w:sz w:val="22"/>
          <w:u w:val="single"/>
        </w:rPr>
      </w:pPr>
      <w:r w:rsidRPr="001E45B8">
        <w:rPr>
          <w:b/>
          <w:sz w:val="22"/>
          <w:u w:val="single"/>
        </w:rPr>
        <w:t xml:space="preserve">Ejemplos de soluciones </w:t>
      </w:r>
      <w:r w:rsidR="00E3582B">
        <w:rPr>
          <w:b/>
          <w:sz w:val="22"/>
          <w:u w:val="single"/>
        </w:rPr>
        <w:t>técnicas</w:t>
      </w:r>
      <w:r w:rsidRPr="001E45B8">
        <w:rPr>
          <w:b/>
          <w:sz w:val="22"/>
          <w:u w:val="single"/>
        </w:rPr>
        <w:t xml:space="preserve"> para el cambio en la práctica</w:t>
      </w:r>
    </w:p>
    <w:p w:rsidR="000E236A" w:rsidRPr="001E45B8" w:rsidRDefault="000E236A" w:rsidP="000E236A">
      <w:pPr>
        <w:pStyle w:val="ListParagraph"/>
        <w:spacing w:line="240" w:lineRule="auto"/>
        <w:jc w:val="center"/>
        <w:rPr>
          <w:b/>
          <w:sz w:val="22"/>
        </w:rPr>
      </w:pPr>
    </w:p>
    <w:p w:rsidR="000E236A" w:rsidRPr="001E45B8" w:rsidRDefault="000E236A" w:rsidP="000E236A">
      <w:pPr>
        <w:pStyle w:val="ListParagraph"/>
        <w:numPr>
          <w:ilvl w:val="0"/>
          <w:numId w:val="17"/>
        </w:numPr>
        <w:spacing w:line="240" w:lineRule="auto"/>
        <w:rPr>
          <w:sz w:val="22"/>
        </w:rPr>
      </w:pPr>
      <w:r w:rsidRPr="001E45B8">
        <w:rPr>
          <w:sz w:val="22"/>
        </w:rPr>
        <w:t xml:space="preserve">Como se comentó anteriormente, los directivos de un pequeño centro en una zona rural colaboraron con los proveedores de primera línea para crear una solución técnica, un sitio de intranet, a fin de impulsar la participación de los profesionales de enfermería. Además, se organizó un grupo de discusión los sábados </w:t>
      </w:r>
      <w:r w:rsidR="00115CD2">
        <w:rPr>
          <w:sz w:val="22"/>
        </w:rPr>
        <w:t>en</w:t>
      </w:r>
      <w:r w:rsidRPr="001E45B8">
        <w:rPr>
          <w:sz w:val="22"/>
        </w:rPr>
        <w:t xml:space="preserve"> la mañana para responder a las necesidades de los profesionales de enfermería del centro. Esto tuvo como resultado el desarrollo de eventos y capacitación sobre seguridad que, para los profesionales de enfermería, abordarían mejor sus inquietudes. Hubo una serie de reuniones conducidas por profesionales de enfermería, a las que asistieron directivos del centro y personal a cargo de mejorar la calidad y la seguridad de los pacientes. Estos son algunos ejemplos de soluciones adaptativas.</w:t>
      </w:r>
    </w:p>
    <w:p w:rsidR="000E236A" w:rsidRPr="001E45B8" w:rsidRDefault="000E236A" w:rsidP="000E236A">
      <w:pPr>
        <w:spacing w:line="240" w:lineRule="auto"/>
        <w:ind w:left="697"/>
        <w:rPr>
          <w:sz w:val="22"/>
        </w:rPr>
      </w:pPr>
      <w:r w:rsidRPr="001E45B8">
        <w:rPr>
          <w:sz w:val="22"/>
        </w:rPr>
        <w:t xml:space="preserve">Después de implementar estas soluciones técnicas y adaptativas, mejoró la participación de los profesionales de enfermería del centro en iniciativas de seguridad. Los equipos de seguridad del centro fueron capaces de apoyar los cambios en la cultura e impulsar la participación de un grupo de profesionales calificados en el proyecto. </w:t>
      </w:r>
    </w:p>
    <w:p w:rsidR="000E236A" w:rsidRPr="001E45B8" w:rsidRDefault="000E236A" w:rsidP="000E236A">
      <w:pPr>
        <w:pStyle w:val="ListParagraph"/>
        <w:numPr>
          <w:ilvl w:val="0"/>
          <w:numId w:val="17"/>
        </w:numPr>
        <w:spacing w:after="0" w:line="240" w:lineRule="auto"/>
        <w:rPr>
          <w:sz w:val="22"/>
        </w:rPr>
      </w:pPr>
      <w:r w:rsidRPr="001E45B8">
        <w:rPr>
          <w:sz w:val="22"/>
        </w:rPr>
        <w:t>Otras soluciones adaptativas empleadas en el centro de enfermería especializada incluyen:</w:t>
      </w:r>
    </w:p>
    <w:p w:rsidR="000E236A" w:rsidRPr="001E45B8" w:rsidRDefault="000E236A" w:rsidP="000E236A">
      <w:pPr>
        <w:numPr>
          <w:ilvl w:val="0"/>
          <w:numId w:val="16"/>
        </w:numPr>
        <w:tabs>
          <w:tab w:val="clear" w:pos="360"/>
          <w:tab w:val="num" w:pos="1327"/>
        </w:tabs>
        <w:spacing w:after="0" w:line="240" w:lineRule="auto"/>
        <w:ind w:left="1327"/>
        <w:rPr>
          <w:sz w:val="22"/>
        </w:rPr>
      </w:pPr>
      <w:r w:rsidRPr="001E45B8">
        <w:rPr>
          <w:sz w:val="22"/>
        </w:rPr>
        <w:t>Implementar una lista de verificación basada en la evid</w:t>
      </w:r>
      <w:r w:rsidR="00F41991" w:rsidRPr="001E45B8">
        <w:rPr>
          <w:sz w:val="22"/>
        </w:rPr>
        <w:t>encia para procedimientos clave</w:t>
      </w:r>
    </w:p>
    <w:p w:rsidR="000E236A" w:rsidRPr="001E45B8" w:rsidRDefault="000E236A" w:rsidP="000E236A">
      <w:pPr>
        <w:numPr>
          <w:ilvl w:val="0"/>
          <w:numId w:val="16"/>
        </w:numPr>
        <w:tabs>
          <w:tab w:val="clear" w:pos="360"/>
          <w:tab w:val="num" w:pos="1327"/>
        </w:tabs>
        <w:spacing w:after="0" w:line="240" w:lineRule="auto"/>
        <w:ind w:left="1327"/>
        <w:rPr>
          <w:sz w:val="22"/>
        </w:rPr>
      </w:pPr>
      <w:r w:rsidRPr="001E45B8">
        <w:rPr>
          <w:sz w:val="22"/>
        </w:rPr>
        <w:t>Elaborar una política de acción para casos</w:t>
      </w:r>
      <w:r w:rsidR="00F41991" w:rsidRPr="001E45B8">
        <w:rPr>
          <w:sz w:val="22"/>
        </w:rPr>
        <w:t xml:space="preserve"> de incumplimiento de protocolo</w:t>
      </w:r>
    </w:p>
    <w:p w:rsidR="000E236A" w:rsidRPr="001E45B8" w:rsidRDefault="000E236A" w:rsidP="000E236A">
      <w:pPr>
        <w:numPr>
          <w:ilvl w:val="0"/>
          <w:numId w:val="16"/>
        </w:numPr>
        <w:tabs>
          <w:tab w:val="clear" w:pos="360"/>
          <w:tab w:val="num" w:pos="1327"/>
        </w:tabs>
        <w:spacing w:after="0" w:line="240" w:lineRule="auto"/>
        <w:ind w:left="1327"/>
        <w:rPr>
          <w:sz w:val="22"/>
        </w:rPr>
      </w:pPr>
      <w:r w:rsidRPr="001E45B8">
        <w:rPr>
          <w:sz w:val="22"/>
        </w:rPr>
        <w:t>Responsabilizar a las personas</w:t>
      </w:r>
      <w:r w:rsidR="00F41991" w:rsidRPr="001E45B8">
        <w:rPr>
          <w:sz w:val="22"/>
        </w:rPr>
        <w:t xml:space="preserve"> de seguir las políticas nuevas</w:t>
      </w:r>
    </w:p>
    <w:p w:rsidR="000E236A" w:rsidRPr="001E45B8" w:rsidRDefault="000E236A" w:rsidP="000E236A">
      <w:pPr>
        <w:rPr>
          <w:sz w:val="22"/>
        </w:rPr>
      </w:pPr>
    </w:p>
    <w:p w:rsidR="00FD1CAC" w:rsidRPr="001E45B8" w:rsidRDefault="00FD1CAC" w:rsidP="00FD1CAC">
      <w:pPr>
        <w:rPr>
          <w:sz w:val="22"/>
        </w:rPr>
      </w:pPr>
    </w:p>
    <w:p w:rsidR="005844CB" w:rsidRPr="001E45B8" w:rsidRDefault="005844CB" w:rsidP="005844CB">
      <w:pPr>
        <w:rPr>
          <w:rFonts w:ascii="Arial" w:hAnsi="Arial" w:cs="Arial"/>
          <w:sz w:val="22"/>
        </w:rPr>
      </w:pPr>
    </w:p>
    <w:sectPr w:rsidR="005844CB" w:rsidRPr="001E45B8" w:rsidSect="000E236A">
      <w:headerReference w:type="even" r:id="rId9"/>
      <w:footerReference w:type="even" r:id="rId10"/>
      <w:footerReference w:type="default" r:id="rId11"/>
      <w:headerReference w:type="first" r:id="rId12"/>
      <w:footerReference w:type="first" r:id="rId13"/>
      <w:pgSz w:w="12240" w:h="15840" w:code="1"/>
      <w:pgMar w:top="2160" w:right="1440" w:bottom="1440" w:left="1440" w:header="720" w:footer="72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642" w:rsidRDefault="00E03642" w:rsidP="00F359C3">
      <w:pPr>
        <w:spacing w:after="0" w:line="240" w:lineRule="auto"/>
      </w:pPr>
      <w:r>
        <w:separator/>
      </w:r>
    </w:p>
  </w:endnote>
  <w:endnote w:type="continuationSeparator" w:id="0">
    <w:p w:rsidR="00E03642" w:rsidRDefault="00E03642"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36A" w:rsidRDefault="000E236A" w:rsidP="00B44B57">
    <w:pPr>
      <w:pStyle w:val="Footer"/>
      <w:tabs>
        <w:tab w:val="clear" w:pos="4680"/>
      </w:tabs>
      <w:rPr>
        <w:rFonts w:ascii="Arial" w:hAnsi="Arial" w:cs="Arial"/>
        <w:sz w:val="18"/>
        <w:szCs w:val="18"/>
      </w:rPr>
    </w:pPr>
    <w:r>
      <w:rPr>
        <w:rFonts w:ascii="Arial" w:hAnsi="Arial" w:cs="Arial"/>
        <w:noProof/>
        <w:sz w:val="18"/>
        <w:szCs w:val="18"/>
        <w:lang w:val="en-US" w:eastAsia="en-US" w:bidi="ar-SA"/>
      </w:rPr>
      <w:drawing>
        <wp:anchor distT="0" distB="0" distL="114300" distR="114300" simplePos="0" relativeHeight="251662848" behindDoc="1" locked="0" layoutInCell="1" allowOverlap="1">
          <wp:simplePos x="0" y="0"/>
          <wp:positionH relativeFrom="column">
            <wp:posOffset>-951230</wp:posOffset>
          </wp:positionH>
          <wp:positionV relativeFrom="paragraph">
            <wp:posOffset>239395</wp:posOffset>
          </wp:positionV>
          <wp:extent cx="6995795" cy="456565"/>
          <wp:effectExtent l="0" t="0" r="0" b="63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anchor>
      </w:drawing>
    </w:r>
  </w:p>
  <w:p w:rsidR="000E236A" w:rsidRDefault="000E236A" w:rsidP="000E236A">
    <w:pPr>
      <w:pStyle w:val="Footer"/>
      <w:rPr>
        <w:rFonts w:ascii="Arial" w:hAnsi="Arial" w:cs="Arial"/>
        <w:sz w:val="18"/>
        <w:szCs w:val="18"/>
      </w:rPr>
    </w:pPr>
  </w:p>
  <w:p w:rsidR="000E236A" w:rsidRPr="00063F7C" w:rsidRDefault="000E236A" w:rsidP="000E236A">
    <w:pPr>
      <w:pStyle w:val="Footer"/>
      <w:rPr>
        <w:rFonts w:ascii="Arial" w:hAnsi="Arial" w:cs="Arial"/>
        <w:sz w:val="18"/>
        <w:szCs w:val="18"/>
      </w:rPr>
    </w:pPr>
    <w:r>
      <w:rPr>
        <w:rFonts w:ascii="Arial" w:hAnsi="Arial"/>
        <w:sz w:val="18"/>
      </w:rPr>
      <w:t>Programa de seguridad de la AHRQ para cuidados a largo plazo: HAI/CAUTI</w:t>
    </w:r>
  </w:p>
  <w:p w:rsidR="000E236A" w:rsidRDefault="000E236A" w:rsidP="000E236A">
    <w:pPr>
      <w:pStyle w:val="Footer"/>
      <w:rPr>
        <w:rFonts w:ascii="Arial" w:hAnsi="Arial" w:cs="Arial"/>
        <w:sz w:val="18"/>
        <w:szCs w:val="18"/>
      </w:rPr>
    </w:pPr>
    <w:r>
      <w:rPr>
        <w:rFonts w:ascii="Arial" w:hAnsi="Arial"/>
        <w:sz w:val="18"/>
      </w:rPr>
      <w:t xml:space="preserve">Kit de herramientas de seguridad para cuidados a largo plazo </w:t>
    </w:r>
    <w:r>
      <w:rPr>
        <w:rFonts w:ascii="Arial" w:hAnsi="Arial"/>
        <w:noProof/>
        <w:sz w:val="18"/>
      </w:rPr>
      <w:t xml:space="preserve"> </w:t>
    </w:r>
  </w:p>
  <w:p w:rsidR="000E236A" w:rsidRPr="007149F8" w:rsidRDefault="007149F8" w:rsidP="008D3C50">
    <w:pPr>
      <w:pStyle w:val="Footer"/>
      <w:tabs>
        <w:tab w:val="clear" w:pos="9360"/>
        <w:tab w:val="left" w:pos="6663"/>
        <w:tab w:val="left" w:pos="9356"/>
      </w:tabs>
      <w:rPr>
        <w:rFonts w:ascii="Arial" w:hAnsi="Arial" w:cs="Arial"/>
        <w:sz w:val="18"/>
        <w:szCs w:val="18"/>
      </w:rPr>
    </w:pPr>
    <w:r>
      <w:rPr>
        <w:rFonts w:ascii="Arial" w:hAnsi="Arial"/>
        <w:sz w:val="18"/>
      </w:rPr>
      <w:t>Ejemplos de soluciones técnicas y adaptativas para el cambio</w:t>
    </w:r>
    <w:r w:rsidR="008D3C50">
      <w:t xml:space="preserve">                       </w:t>
    </w:r>
    <w:r w:rsidR="008D3C50">
      <w:tab/>
    </w:r>
    <w:r>
      <w:rPr>
        <w:rFonts w:ascii="Arial" w:hAnsi="Arial"/>
        <w:noProof/>
        <w:color w:val="FFFFFF" w:themeColor="background1"/>
        <w:sz w:val="18"/>
      </w:rPr>
      <w:t xml:space="preserve">Participación de los directivos | </w:t>
    </w:r>
    <w:r w:rsidR="00CC11A0" w:rsidRPr="00ED5F52">
      <w:rPr>
        <w:rFonts w:ascii="Arial" w:hAnsi="Arial" w:cs="Arial"/>
        <w:noProof/>
        <w:color w:val="FFFFFF" w:themeColor="background1"/>
        <w:sz w:val="18"/>
        <w:szCs w:val="18"/>
      </w:rPr>
      <w:fldChar w:fldCharType="begin"/>
    </w:r>
    <w:r w:rsidR="000E236A" w:rsidRPr="00ED5F52">
      <w:rPr>
        <w:rFonts w:ascii="Arial" w:hAnsi="Arial" w:cs="Arial"/>
        <w:noProof/>
        <w:color w:val="FFFFFF" w:themeColor="background1"/>
        <w:sz w:val="18"/>
        <w:szCs w:val="18"/>
      </w:rPr>
      <w:instrText xml:space="preserve"> PAGE   \* MERGEFORMAT </w:instrText>
    </w:r>
    <w:r w:rsidR="00CC11A0" w:rsidRPr="00ED5F52">
      <w:rPr>
        <w:rFonts w:ascii="Arial" w:hAnsi="Arial" w:cs="Arial"/>
        <w:noProof/>
        <w:color w:val="FFFFFF" w:themeColor="background1"/>
        <w:sz w:val="18"/>
        <w:szCs w:val="18"/>
      </w:rPr>
      <w:fldChar w:fldCharType="separate"/>
    </w:r>
    <w:r w:rsidR="00E2122D" w:rsidRPr="00E2122D">
      <w:rPr>
        <w:rFonts w:ascii="Arial" w:hAnsi="Arial" w:cs="Arial"/>
        <w:bCs/>
        <w:noProof/>
        <w:color w:val="FFFFFF" w:themeColor="background1"/>
        <w:sz w:val="18"/>
        <w:szCs w:val="18"/>
      </w:rPr>
      <w:t>2</w:t>
    </w:r>
    <w:r w:rsidR="00CC11A0" w:rsidRPr="00ED5F52">
      <w:rPr>
        <w:rFonts w:ascii="Arial" w:hAnsi="Arial" w:cs="Arial"/>
        <w:bCs/>
        <w:noProof/>
        <w:color w:val="FFFFFF" w:themeColor="background1"/>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Default="00B33DFD" w:rsidP="00E2122D">
    <w:pPr>
      <w:pStyle w:val="Footer"/>
      <w:ind w:left="3960" w:firstLine="2520"/>
      <w:rPr>
        <w:rFonts w:ascii="Arial" w:hAnsi="Arial" w:cs="Arial"/>
        <w:sz w:val="18"/>
        <w:szCs w:val="18"/>
      </w:rPr>
    </w:pPr>
    <w:r>
      <w:rPr>
        <w:rFonts w:ascii="Arial" w:hAnsi="Arial" w:cs="Arial"/>
        <w:noProof/>
        <w:sz w:val="18"/>
        <w:szCs w:val="18"/>
        <w:lang w:val="en-US" w:eastAsia="en-US" w:bidi="ar-SA"/>
      </w:rPr>
      <w:drawing>
        <wp:anchor distT="0" distB="0" distL="114300" distR="114300" simplePos="0" relativeHeight="251658752" behindDoc="1" locked="0" layoutInCell="1" allowOverlap="1" wp14:anchorId="3FBC9702" wp14:editId="40F9FD85">
          <wp:simplePos x="0" y="0"/>
          <wp:positionH relativeFrom="column">
            <wp:posOffset>-951230</wp:posOffset>
          </wp:positionH>
          <wp:positionV relativeFrom="paragraph">
            <wp:posOffset>239395</wp:posOffset>
          </wp:positionV>
          <wp:extent cx="6995795" cy="456565"/>
          <wp:effectExtent l="0" t="0" r="0" b="63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anchor>
      </w:drawing>
    </w:r>
    <w:r w:rsidR="00E2122D">
      <w:rPr>
        <w:rFonts w:ascii="Arial" w:hAnsi="Arial"/>
        <w:sz w:val="18"/>
      </w:rPr>
      <w:t xml:space="preserve">AHRQ Pub. No. </w:t>
    </w:r>
    <w:r>
      <w:rPr>
        <w:rFonts w:ascii="Arial" w:hAnsi="Arial"/>
        <w:sz w:val="18"/>
      </w:rPr>
      <w:t>16</w:t>
    </w:r>
    <w:r w:rsidR="00E2122D">
      <w:rPr>
        <w:rFonts w:ascii="Arial" w:hAnsi="Arial"/>
        <w:sz w:val="18"/>
      </w:rPr>
      <w:t>(17)</w:t>
    </w:r>
    <w:r>
      <w:rPr>
        <w:rFonts w:ascii="Arial" w:hAnsi="Arial"/>
        <w:sz w:val="18"/>
      </w:rPr>
      <w:t>-0003-03-EF</w:t>
    </w:r>
  </w:p>
  <w:p w:rsidR="00B33DFD" w:rsidRDefault="00EF5A0C" w:rsidP="00B33DFD">
    <w:pPr>
      <w:pStyle w:val="Footer"/>
      <w:jc w:val="center"/>
      <w:rPr>
        <w:rFonts w:ascii="Arial" w:hAnsi="Arial" w:cs="Arial"/>
        <w:sz w:val="18"/>
        <w:szCs w:val="18"/>
      </w:rPr>
    </w:pPr>
    <w:r>
      <w:rPr>
        <w:rFonts w:ascii="Arial" w:hAnsi="Arial"/>
        <w:sz w:val="18"/>
      </w:rPr>
      <w:tab/>
    </w:r>
    <w:r>
      <w:rPr>
        <w:rFonts w:ascii="Arial" w:hAnsi="Arial"/>
        <w:sz w:val="18"/>
      </w:rPr>
      <w:tab/>
    </w:r>
    <w:r w:rsidR="00E2122D">
      <w:rPr>
        <w:rFonts w:ascii="Arial" w:hAnsi="Arial"/>
        <w:sz w:val="18"/>
      </w:rPr>
      <w:t>Marzo de 2017</w:t>
    </w:r>
  </w:p>
  <w:p w:rsidR="00B33DFD" w:rsidRPr="00063F7C" w:rsidRDefault="00B33DFD" w:rsidP="00B33DFD">
    <w:pPr>
      <w:pStyle w:val="Footer"/>
      <w:rPr>
        <w:rFonts w:ascii="Arial" w:hAnsi="Arial" w:cs="Arial"/>
        <w:sz w:val="18"/>
        <w:szCs w:val="18"/>
      </w:rPr>
    </w:pPr>
    <w:r>
      <w:rPr>
        <w:rFonts w:ascii="Arial" w:hAnsi="Arial"/>
        <w:sz w:val="18"/>
      </w:rPr>
      <w:t>Programa de seguridad de la AHRQ para cuidados a largo plazo: HAI/CAUTI</w:t>
    </w:r>
    <w:r>
      <w:tab/>
    </w:r>
    <w:r>
      <w:tab/>
    </w:r>
  </w:p>
  <w:p w:rsidR="00B33DFD" w:rsidRDefault="00B33DFD" w:rsidP="00B33DFD">
    <w:pPr>
      <w:pStyle w:val="Footer"/>
      <w:rPr>
        <w:rFonts w:ascii="Arial" w:hAnsi="Arial" w:cs="Arial"/>
        <w:sz w:val="18"/>
        <w:szCs w:val="18"/>
      </w:rPr>
    </w:pPr>
    <w:r>
      <w:rPr>
        <w:rFonts w:ascii="Arial" w:hAnsi="Arial"/>
        <w:sz w:val="18"/>
      </w:rPr>
      <w:t xml:space="preserve">Kit de herramientas de seguridad para cuidados a largo plazo </w:t>
    </w:r>
    <w:r>
      <w:tab/>
    </w:r>
    <w:r>
      <w:tab/>
    </w:r>
    <w:r>
      <w:rPr>
        <w:rFonts w:ascii="Arial" w:hAnsi="Arial"/>
        <w:noProof/>
        <w:sz w:val="18"/>
      </w:rPr>
      <w:t xml:space="preserve"> </w:t>
    </w:r>
  </w:p>
  <w:p w:rsidR="009B4B3F" w:rsidRPr="007149F8" w:rsidRDefault="007149F8" w:rsidP="007149F8">
    <w:pPr>
      <w:pStyle w:val="Footer"/>
      <w:rPr>
        <w:rFonts w:ascii="Arial" w:hAnsi="Arial" w:cs="Arial"/>
        <w:sz w:val="18"/>
        <w:szCs w:val="18"/>
      </w:rPr>
    </w:pPr>
    <w:r>
      <w:rPr>
        <w:rFonts w:ascii="Arial" w:hAnsi="Arial"/>
        <w:sz w:val="18"/>
      </w:rPr>
      <w:t>Ejemplos de soluciones técnicas y adaptativas para el cambio</w:t>
    </w:r>
    <w:r>
      <w:tab/>
    </w:r>
    <w:r>
      <w:rPr>
        <w:rFonts w:ascii="Arial" w:hAnsi="Arial"/>
        <w:noProof/>
        <w:color w:val="FFFFFF" w:themeColor="background1"/>
        <w:sz w:val="18"/>
      </w:rPr>
      <w:t xml:space="preserve">Participación de los directivos | </w:t>
    </w:r>
    <w:r w:rsidR="00CC11A0" w:rsidRPr="00ED5F52">
      <w:rPr>
        <w:rFonts w:ascii="Arial" w:hAnsi="Arial" w:cs="Arial"/>
        <w:noProof/>
        <w:color w:val="FFFFFF" w:themeColor="background1"/>
        <w:sz w:val="18"/>
        <w:szCs w:val="18"/>
      </w:rPr>
      <w:fldChar w:fldCharType="begin"/>
    </w:r>
    <w:r w:rsidR="00B33DFD" w:rsidRPr="00ED5F52">
      <w:rPr>
        <w:rFonts w:ascii="Arial" w:hAnsi="Arial" w:cs="Arial"/>
        <w:noProof/>
        <w:color w:val="FFFFFF" w:themeColor="background1"/>
        <w:sz w:val="18"/>
        <w:szCs w:val="18"/>
      </w:rPr>
      <w:instrText xml:space="preserve"> PAGE   \* MERGEFORMAT </w:instrText>
    </w:r>
    <w:r w:rsidR="00CC11A0" w:rsidRPr="00ED5F52">
      <w:rPr>
        <w:rFonts w:ascii="Arial" w:hAnsi="Arial" w:cs="Arial"/>
        <w:noProof/>
        <w:color w:val="FFFFFF" w:themeColor="background1"/>
        <w:sz w:val="18"/>
        <w:szCs w:val="18"/>
      </w:rPr>
      <w:fldChar w:fldCharType="separate"/>
    </w:r>
    <w:r w:rsidR="00E2122D" w:rsidRPr="00E2122D">
      <w:rPr>
        <w:rFonts w:ascii="Arial" w:hAnsi="Arial" w:cs="Arial"/>
        <w:bCs/>
        <w:noProof/>
        <w:color w:val="FFFFFF" w:themeColor="background1"/>
        <w:sz w:val="18"/>
        <w:szCs w:val="18"/>
      </w:rPr>
      <w:t>3</w:t>
    </w:r>
    <w:r w:rsidR="00CC11A0" w:rsidRPr="00ED5F52">
      <w:rPr>
        <w:rFonts w:ascii="Arial" w:hAnsi="Arial" w:cs="Arial"/>
        <w:bCs/>
        <w:noProof/>
        <w:color w:val="FFFFFF" w:themeColor="background1"/>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96" w:rsidRDefault="00754826">
    <w:pPr>
      <w:pStyle w:val="Footer"/>
    </w:pPr>
    <w:r>
      <w:rPr>
        <w:noProof/>
        <w:lang w:val="en-US" w:eastAsia="en-US" w:bidi="ar-SA"/>
      </w:rPr>
      <w:drawing>
        <wp:anchor distT="0" distB="0" distL="114300" distR="114300" simplePos="0" relativeHeight="251657216" behindDoc="1" locked="0" layoutInCell="1" allowOverlap="1">
          <wp:simplePos x="0" y="0"/>
          <wp:positionH relativeFrom="column">
            <wp:posOffset>-914400</wp:posOffset>
          </wp:positionH>
          <wp:positionV relativeFrom="page">
            <wp:posOffset>9129233</wp:posOffset>
          </wp:positionV>
          <wp:extent cx="7768590" cy="700405"/>
          <wp:effectExtent l="0" t="0" r="3810" b="4445"/>
          <wp:wrapTight wrapText="bothSides">
            <wp:wrapPolygon edited="0">
              <wp:start x="0" y="0"/>
              <wp:lineTo x="0" y="21150"/>
              <wp:lineTo x="21558" y="21150"/>
              <wp:lineTo x="21558"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642" w:rsidRDefault="00E03642" w:rsidP="00F359C3">
      <w:pPr>
        <w:spacing w:after="0" w:line="240" w:lineRule="auto"/>
      </w:pPr>
      <w:r>
        <w:separator/>
      </w:r>
    </w:p>
  </w:footnote>
  <w:footnote w:type="continuationSeparator" w:id="0">
    <w:p w:rsidR="00E03642" w:rsidRDefault="00E03642"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3F" w:rsidRDefault="009B4B3F">
    <w:pPr>
      <w:pStyle w:val="Header"/>
    </w:pPr>
  </w:p>
  <w:p w:rsidR="009B4B3F" w:rsidRDefault="009B4B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Pr="00082218" w:rsidRDefault="00B33DFD" w:rsidP="00B33DFD">
    <w:pPr>
      <w:pStyle w:val="Title"/>
      <w:spacing w:after="0" w:line="360" w:lineRule="auto"/>
      <w:rPr>
        <w:rFonts w:cs="Arial"/>
        <w:b w:val="0"/>
        <w:color w:val="FFFFFF" w:themeColor="background1"/>
        <w:sz w:val="30"/>
        <w:szCs w:val="30"/>
      </w:rPr>
    </w:pPr>
    <w:r w:rsidRPr="00082218">
      <w:rPr>
        <w:rFonts w:cs="Arial"/>
        <w:b w:val="0"/>
        <w:noProof/>
        <w:color w:val="FFFFFF" w:themeColor="background1"/>
        <w:sz w:val="30"/>
        <w:szCs w:val="30"/>
        <w:lang w:val="en-US" w:eastAsia="en-US" w:bidi="ar-SA"/>
      </w:rPr>
      <w:drawing>
        <wp:anchor distT="0" distB="0" distL="114300" distR="114300" simplePos="0" relativeHeight="251660800" behindDoc="1" locked="0" layoutInCell="1" allowOverlap="1">
          <wp:simplePos x="0" y="0"/>
          <wp:positionH relativeFrom="column">
            <wp:posOffset>-903605</wp:posOffset>
          </wp:positionH>
          <wp:positionV relativeFrom="paragraph">
            <wp:posOffset>-437353</wp:posOffset>
          </wp:positionV>
          <wp:extent cx="7839075" cy="2137144"/>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137144"/>
                  </a:xfrm>
                  <a:prstGeom prst="rect">
                    <a:avLst/>
                  </a:prstGeom>
                  <a:ln>
                    <a:noFill/>
                  </a:ln>
                  <a:extLst>
                    <a:ext uri="{53640926-AAD7-44D8-BBD7-CCE9431645EC}">
                      <a14:shadowObscured xmlns:a14="http://schemas.microsoft.com/office/drawing/2010/main"/>
                    </a:ext>
                  </a:extLst>
                </pic:spPr>
              </pic:pic>
            </a:graphicData>
          </a:graphic>
        </wp:anchor>
      </w:drawing>
    </w:r>
    <w:r w:rsidRPr="00082218">
      <w:rPr>
        <w:b w:val="0"/>
        <w:color w:val="FFFFFF" w:themeColor="background1"/>
        <w:sz w:val="30"/>
        <w:szCs w:val="30"/>
      </w:rPr>
      <w:t>Programa de seguridad de la AHRQ para cuidados a largo plazo: HAI/CAUTI</w:t>
    </w:r>
  </w:p>
  <w:p w:rsidR="00B33DFD" w:rsidRPr="00082218" w:rsidRDefault="00B33DFD" w:rsidP="00B33DFD">
    <w:pPr>
      <w:pStyle w:val="NoSpacing"/>
      <w:spacing w:line="480" w:lineRule="auto"/>
      <w:jc w:val="center"/>
      <w:rPr>
        <w:rFonts w:ascii="Arial" w:eastAsia="Times New Roman" w:hAnsi="Arial" w:cs="Arial"/>
        <w:color w:val="FFFFFF" w:themeColor="background1"/>
        <w:spacing w:val="5"/>
        <w:sz w:val="30"/>
        <w:szCs w:val="30"/>
      </w:rPr>
    </w:pPr>
    <w:r w:rsidRPr="00082218">
      <w:rPr>
        <w:rFonts w:ascii="Arial" w:hAnsi="Arial"/>
        <w:color w:val="FFFFFF" w:themeColor="background1"/>
        <w:spacing w:val="5"/>
        <w:sz w:val="30"/>
        <w:szCs w:val="30"/>
      </w:rPr>
      <w:t xml:space="preserve">Kit de herramientas de seguridad para cuidados a largo plazo </w:t>
    </w:r>
  </w:p>
  <w:p w:rsidR="00621796" w:rsidRDefault="006217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57659C"/>
    <w:multiLevelType w:val="hybridMultilevel"/>
    <w:tmpl w:val="B9ACB106"/>
    <w:lvl w:ilvl="0" w:tplc="CBFC3B96">
      <w:start w:val="1"/>
      <w:numFmt w:val="bullet"/>
      <w:lvlText w:val="•"/>
      <w:lvlJc w:val="left"/>
      <w:pPr>
        <w:tabs>
          <w:tab w:val="num" w:pos="360"/>
        </w:tabs>
        <w:ind w:left="360" w:hanging="360"/>
      </w:pPr>
      <w:rPr>
        <w:rFonts w:ascii="Arial" w:hAnsi="Arial" w:hint="default"/>
      </w:rPr>
    </w:lvl>
    <w:lvl w:ilvl="1" w:tplc="5E4E5ABC" w:tentative="1">
      <w:start w:val="1"/>
      <w:numFmt w:val="bullet"/>
      <w:lvlText w:val="•"/>
      <w:lvlJc w:val="left"/>
      <w:pPr>
        <w:tabs>
          <w:tab w:val="num" w:pos="1080"/>
        </w:tabs>
        <w:ind w:left="1080" w:hanging="360"/>
      </w:pPr>
      <w:rPr>
        <w:rFonts w:ascii="Arial" w:hAnsi="Arial" w:hint="default"/>
      </w:rPr>
    </w:lvl>
    <w:lvl w:ilvl="2" w:tplc="3404C4EE" w:tentative="1">
      <w:start w:val="1"/>
      <w:numFmt w:val="bullet"/>
      <w:lvlText w:val="•"/>
      <w:lvlJc w:val="left"/>
      <w:pPr>
        <w:tabs>
          <w:tab w:val="num" w:pos="1800"/>
        </w:tabs>
        <w:ind w:left="1800" w:hanging="360"/>
      </w:pPr>
      <w:rPr>
        <w:rFonts w:ascii="Arial" w:hAnsi="Arial" w:hint="default"/>
      </w:rPr>
    </w:lvl>
    <w:lvl w:ilvl="3" w:tplc="60CE5772" w:tentative="1">
      <w:start w:val="1"/>
      <w:numFmt w:val="bullet"/>
      <w:lvlText w:val="•"/>
      <w:lvlJc w:val="left"/>
      <w:pPr>
        <w:tabs>
          <w:tab w:val="num" w:pos="2520"/>
        </w:tabs>
        <w:ind w:left="2520" w:hanging="360"/>
      </w:pPr>
      <w:rPr>
        <w:rFonts w:ascii="Arial" w:hAnsi="Arial" w:hint="default"/>
      </w:rPr>
    </w:lvl>
    <w:lvl w:ilvl="4" w:tplc="35CE7C9E" w:tentative="1">
      <w:start w:val="1"/>
      <w:numFmt w:val="bullet"/>
      <w:lvlText w:val="•"/>
      <w:lvlJc w:val="left"/>
      <w:pPr>
        <w:tabs>
          <w:tab w:val="num" w:pos="3240"/>
        </w:tabs>
        <w:ind w:left="3240" w:hanging="360"/>
      </w:pPr>
      <w:rPr>
        <w:rFonts w:ascii="Arial" w:hAnsi="Arial" w:hint="default"/>
      </w:rPr>
    </w:lvl>
    <w:lvl w:ilvl="5" w:tplc="3B8A9FE8" w:tentative="1">
      <w:start w:val="1"/>
      <w:numFmt w:val="bullet"/>
      <w:lvlText w:val="•"/>
      <w:lvlJc w:val="left"/>
      <w:pPr>
        <w:tabs>
          <w:tab w:val="num" w:pos="3960"/>
        </w:tabs>
        <w:ind w:left="3960" w:hanging="360"/>
      </w:pPr>
      <w:rPr>
        <w:rFonts w:ascii="Arial" w:hAnsi="Arial" w:hint="default"/>
      </w:rPr>
    </w:lvl>
    <w:lvl w:ilvl="6" w:tplc="027A5660" w:tentative="1">
      <w:start w:val="1"/>
      <w:numFmt w:val="bullet"/>
      <w:lvlText w:val="•"/>
      <w:lvlJc w:val="left"/>
      <w:pPr>
        <w:tabs>
          <w:tab w:val="num" w:pos="4680"/>
        </w:tabs>
        <w:ind w:left="4680" w:hanging="360"/>
      </w:pPr>
      <w:rPr>
        <w:rFonts w:ascii="Arial" w:hAnsi="Arial" w:hint="default"/>
      </w:rPr>
    </w:lvl>
    <w:lvl w:ilvl="7" w:tplc="2C3E8E2A" w:tentative="1">
      <w:start w:val="1"/>
      <w:numFmt w:val="bullet"/>
      <w:lvlText w:val="•"/>
      <w:lvlJc w:val="left"/>
      <w:pPr>
        <w:tabs>
          <w:tab w:val="num" w:pos="5400"/>
        </w:tabs>
        <w:ind w:left="5400" w:hanging="360"/>
      </w:pPr>
      <w:rPr>
        <w:rFonts w:ascii="Arial" w:hAnsi="Arial" w:hint="default"/>
      </w:rPr>
    </w:lvl>
    <w:lvl w:ilvl="8" w:tplc="80DC1CB0" w:tentative="1">
      <w:start w:val="1"/>
      <w:numFmt w:val="bullet"/>
      <w:lvlText w:val="•"/>
      <w:lvlJc w:val="left"/>
      <w:pPr>
        <w:tabs>
          <w:tab w:val="num" w:pos="6120"/>
        </w:tabs>
        <w:ind w:left="6120" w:hanging="360"/>
      </w:pPr>
      <w:rPr>
        <w:rFonts w:ascii="Arial" w:hAnsi="Arial" w:hint="default"/>
      </w:rPr>
    </w:lvl>
  </w:abstractNum>
  <w:abstractNum w:abstractNumId="2">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3">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4">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097843"/>
    <w:multiLevelType w:val="hybridMultilevel"/>
    <w:tmpl w:val="F1341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1A6863"/>
    <w:multiLevelType w:val="hybridMultilevel"/>
    <w:tmpl w:val="B91E555C"/>
    <w:lvl w:ilvl="0" w:tplc="3FC01F86">
      <w:start w:val="1"/>
      <w:numFmt w:val="bullet"/>
      <w:lvlText w:val="•"/>
      <w:lvlJc w:val="left"/>
      <w:pPr>
        <w:tabs>
          <w:tab w:val="num" w:pos="360"/>
        </w:tabs>
        <w:ind w:left="360" w:hanging="360"/>
      </w:pPr>
      <w:rPr>
        <w:rFonts w:ascii="Arial" w:hAnsi="Arial" w:hint="default"/>
      </w:rPr>
    </w:lvl>
    <w:lvl w:ilvl="1" w:tplc="BDCE307E" w:tentative="1">
      <w:start w:val="1"/>
      <w:numFmt w:val="bullet"/>
      <w:lvlText w:val="•"/>
      <w:lvlJc w:val="left"/>
      <w:pPr>
        <w:tabs>
          <w:tab w:val="num" w:pos="1080"/>
        </w:tabs>
        <w:ind w:left="1080" w:hanging="360"/>
      </w:pPr>
      <w:rPr>
        <w:rFonts w:ascii="Arial" w:hAnsi="Arial" w:hint="default"/>
      </w:rPr>
    </w:lvl>
    <w:lvl w:ilvl="2" w:tplc="BEEC14FA" w:tentative="1">
      <w:start w:val="1"/>
      <w:numFmt w:val="bullet"/>
      <w:lvlText w:val="•"/>
      <w:lvlJc w:val="left"/>
      <w:pPr>
        <w:tabs>
          <w:tab w:val="num" w:pos="1800"/>
        </w:tabs>
        <w:ind w:left="1800" w:hanging="360"/>
      </w:pPr>
      <w:rPr>
        <w:rFonts w:ascii="Arial" w:hAnsi="Arial" w:hint="default"/>
      </w:rPr>
    </w:lvl>
    <w:lvl w:ilvl="3" w:tplc="1F50AA68" w:tentative="1">
      <w:start w:val="1"/>
      <w:numFmt w:val="bullet"/>
      <w:lvlText w:val="•"/>
      <w:lvlJc w:val="left"/>
      <w:pPr>
        <w:tabs>
          <w:tab w:val="num" w:pos="2520"/>
        </w:tabs>
        <w:ind w:left="2520" w:hanging="360"/>
      </w:pPr>
      <w:rPr>
        <w:rFonts w:ascii="Arial" w:hAnsi="Arial" w:hint="default"/>
      </w:rPr>
    </w:lvl>
    <w:lvl w:ilvl="4" w:tplc="F5A0A802" w:tentative="1">
      <w:start w:val="1"/>
      <w:numFmt w:val="bullet"/>
      <w:lvlText w:val="•"/>
      <w:lvlJc w:val="left"/>
      <w:pPr>
        <w:tabs>
          <w:tab w:val="num" w:pos="3240"/>
        </w:tabs>
        <w:ind w:left="3240" w:hanging="360"/>
      </w:pPr>
      <w:rPr>
        <w:rFonts w:ascii="Arial" w:hAnsi="Arial" w:hint="default"/>
      </w:rPr>
    </w:lvl>
    <w:lvl w:ilvl="5" w:tplc="DD360808" w:tentative="1">
      <w:start w:val="1"/>
      <w:numFmt w:val="bullet"/>
      <w:lvlText w:val="•"/>
      <w:lvlJc w:val="left"/>
      <w:pPr>
        <w:tabs>
          <w:tab w:val="num" w:pos="3960"/>
        </w:tabs>
        <w:ind w:left="3960" w:hanging="360"/>
      </w:pPr>
      <w:rPr>
        <w:rFonts w:ascii="Arial" w:hAnsi="Arial" w:hint="default"/>
      </w:rPr>
    </w:lvl>
    <w:lvl w:ilvl="6" w:tplc="862E387A" w:tentative="1">
      <w:start w:val="1"/>
      <w:numFmt w:val="bullet"/>
      <w:lvlText w:val="•"/>
      <w:lvlJc w:val="left"/>
      <w:pPr>
        <w:tabs>
          <w:tab w:val="num" w:pos="4680"/>
        </w:tabs>
        <w:ind w:left="4680" w:hanging="360"/>
      </w:pPr>
      <w:rPr>
        <w:rFonts w:ascii="Arial" w:hAnsi="Arial" w:hint="default"/>
      </w:rPr>
    </w:lvl>
    <w:lvl w:ilvl="7" w:tplc="215AF4EC" w:tentative="1">
      <w:start w:val="1"/>
      <w:numFmt w:val="bullet"/>
      <w:lvlText w:val="•"/>
      <w:lvlJc w:val="left"/>
      <w:pPr>
        <w:tabs>
          <w:tab w:val="num" w:pos="5400"/>
        </w:tabs>
        <w:ind w:left="5400" w:hanging="360"/>
      </w:pPr>
      <w:rPr>
        <w:rFonts w:ascii="Arial" w:hAnsi="Arial" w:hint="default"/>
      </w:rPr>
    </w:lvl>
    <w:lvl w:ilvl="8" w:tplc="C0E6D13A" w:tentative="1">
      <w:start w:val="1"/>
      <w:numFmt w:val="bullet"/>
      <w:lvlText w:val="•"/>
      <w:lvlJc w:val="left"/>
      <w:pPr>
        <w:tabs>
          <w:tab w:val="num" w:pos="6120"/>
        </w:tabs>
        <w:ind w:left="6120" w:hanging="360"/>
      </w:pPr>
      <w:rPr>
        <w:rFonts w:ascii="Arial" w:hAnsi="Arial" w:hint="default"/>
      </w:rPr>
    </w:lvl>
  </w:abstractNum>
  <w:abstractNum w:abstractNumId="11">
    <w:nsid w:val="421605D2"/>
    <w:multiLevelType w:val="hybridMultilevel"/>
    <w:tmpl w:val="E7AC77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4113D5"/>
    <w:multiLevelType w:val="hybridMultilevel"/>
    <w:tmpl w:val="26587526"/>
    <w:lvl w:ilvl="0" w:tplc="95902086">
      <w:start w:val="1"/>
      <w:numFmt w:val="bullet"/>
      <w:lvlText w:val="•"/>
      <w:lvlJc w:val="left"/>
      <w:pPr>
        <w:tabs>
          <w:tab w:val="num" w:pos="360"/>
        </w:tabs>
        <w:ind w:left="360" w:hanging="360"/>
      </w:pPr>
      <w:rPr>
        <w:rFonts w:ascii="Arial" w:hAnsi="Arial" w:hint="default"/>
      </w:rPr>
    </w:lvl>
    <w:lvl w:ilvl="1" w:tplc="07D86DA8">
      <w:start w:val="1835"/>
      <w:numFmt w:val="bullet"/>
      <w:lvlText w:val="•"/>
      <w:lvlJc w:val="left"/>
      <w:pPr>
        <w:tabs>
          <w:tab w:val="num" w:pos="1080"/>
        </w:tabs>
        <w:ind w:left="1080" w:hanging="360"/>
      </w:pPr>
      <w:rPr>
        <w:rFonts w:ascii="Arial" w:hAnsi="Arial" w:hint="default"/>
      </w:rPr>
    </w:lvl>
    <w:lvl w:ilvl="2" w:tplc="2E48CC3C" w:tentative="1">
      <w:start w:val="1"/>
      <w:numFmt w:val="bullet"/>
      <w:lvlText w:val="•"/>
      <w:lvlJc w:val="left"/>
      <w:pPr>
        <w:tabs>
          <w:tab w:val="num" w:pos="1800"/>
        </w:tabs>
        <w:ind w:left="1800" w:hanging="360"/>
      </w:pPr>
      <w:rPr>
        <w:rFonts w:ascii="Arial" w:hAnsi="Arial" w:hint="default"/>
      </w:rPr>
    </w:lvl>
    <w:lvl w:ilvl="3" w:tplc="AC4C7092" w:tentative="1">
      <w:start w:val="1"/>
      <w:numFmt w:val="bullet"/>
      <w:lvlText w:val="•"/>
      <w:lvlJc w:val="left"/>
      <w:pPr>
        <w:tabs>
          <w:tab w:val="num" w:pos="2520"/>
        </w:tabs>
        <w:ind w:left="2520" w:hanging="360"/>
      </w:pPr>
      <w:rPr>
        <w:rFonts w:ascii="Arial" w:hAnsi="Arial" w:hint="default"/>
      </w:rPr>
    </w:lvl>
    <w:lvl w:ilvl="4" w:tplc="24E84BFC" w:tentative="1">
      <w:start w:val="1"/>
      <w:numFmt w:val="bullet"/>
      <w:lvlText w:val="•"/>
      <w:lvlJc w:val="left"/>
      <w:pPr>
        <w:tabs>
          <w:tab w:val="num" w:pos="3240"/>
        </w:tabs>
        <w:ind w:left="3240" w:hanging="360"/>
      </w:pPr>
      <w:rPr>
        <w:rFonts w:ascii="Arial" w:hAnsi="Arial" w:hint="default"/>
      </w:rPr>
    </w:lvl>
    <w:lvl w:ilvl="5" w:tplc="653E58DE" w:tentative="1">
      <w:start w:val="1"/>
      <w:numFmt w:val="bullet"/>
      <w:lvlText w:val="•"/>
      <w:lvlJc w:val="left"/>
      <w:pPr>
        <w:tabs>
          <w:tab w:val="num" w:pos="3960"/>
        </w:tabs>
        <w:ind w:left="3960" w:hanging="360"/>
      </w:pPr>
      <w:rPr>
        <w:rFonts w:ascii="Arial" w:hAnsi="Arial" w:hint="default"/>
      </w:rPr>
    </w:lvl>
    <w:lvl w:ilvl="6" w:tplc="D28CC0A4" w:tentative="1">
      <w:start w:val="1"/>
      <w:numFmt w:val="bullet"/>
      <w:lvlText w:val="•"/>
      <w:lvlJc w:val="left"/>
      <w:pPr>
        <w:tabs>
          <w:tab w:val="num" w:pos="4680"/>
        </w:tabs>
        <w:ind w:left="4680" w:hanging="360"/>
      </w:pPr>
      <w:rPr>
        <w:rFonts w:ascii="Arial" w:hAnsi="Arial" w:hint="default"/>
      </w:rPr>
    </w:lvl>
    <w:lvl w:ilvl="7" w:tplc="E1308D68" w:tentative="1">
      <w:start w:val="1"/>
      <w:numFmt w:val="bullet"/>
      <w:lvlText w:val="•"/>
      <w:lvlJc w:val="left"/>
      <w:pPr>
        <w:tabs>
          <w:tab w:val="num" w:pos="5400"/>
        </w:tabs>
        <w:ind w:left="5400" w:hanging="360"/>
      </w:pPr>
      <w:rPr>
        <w:rFonts w:ascii="Arial" w:hAnsi="Arial" w:hint="default"/>
      </w:rPr>
    </w:lvl>
    <w:lvl w:ilvl="8" w:tplc="6EC4CA50" w:tentative="1">
      <w:start w:val="1"/>
      <w:numFmt w:val="bullet"/>
      <w:lvlText w:val="•"/>
      <w:lvlJc w:val="left"/>
      <w:pPr>
        <w:tabs>
          <w:tab w:val="num" w:pos="6120"/>
        </w:tabs>
        <w:ind w:left="6120" w:hanging="360"/>
      </w:pPr>
      <w:rPr>
        <w:rFonts w:ascii="Arial" w:hAnsi="Arial" w:hint="default"/>
      </w:rPr>
    </w:lvl>
  </w:abstractNum>
  <w:abstractNum w:abstractNumId="14">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0"/>
  </w:num>
  <w:num w:numId="3">
    <w:abstractNumId w:val="16"/>
  </w:num>
  <w:num w:numId="4">
    <w:abstractNumId w:val="9"/>
  </w:num>
  <w:num w:numId="5">
    <w:abstractNumId w:val="17"/>
  </w:num>
  <w:num w:numId="6">
    <w:abstractNumId w:val="5"/>
  </w:num>
  <w:num w:numId="7">
    <w:abstractNumId w:val="6"/>
  </w:num>
  <w:num w:numId="8">
    <w:abstractNumId w:val="4"/>
  </w:num>
  <w:num w:numId="9">
    <w:abstractNumId w:val="3"/>
  </w:num>
  <w:num w:numId="10">
    <w:abstractNumId w:val="14"/>
  </w:num>
  <w:num w:numId="11">
    <w:abstractNumId w:val="2"/>
  </w:num>
  <w:num w:numId="12">
    <w:abstractNumId w:val="15"/>
  </w:num>
  <w:num w:numId="13">
    <w:abstractNumId w:val="7"/>
  </w:num>
  <w:num w:numId="14">
    <w:abstractNumId w:val="1"/>
  </w:num>
  <w:num w:numId="15">
    <w:abstractNumId w:val="10"/>
  </w:num>
  <w:num w:numId="16">
    <w:abstractNumId w:val="13"/>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F359C3"/>
    <w:rsid w:val="0000327F"/>
    <w:rsid w:val="000078BA"/>
    <w:rsid w:val="000428E8"/>
    <w:rsid w:val="00046F7A"/>
    <w:rsid w:val="0005542F"/>
    <w:rsid w:val="00056F35"/>
    <w:rsid w:val="00066722"/>
    <w:rsid w:val="00082218"/>
    <w:rsid w:val="00085598"/>
    <w:rsid w:val="000A157A"/>
    <w:rsid w:val="000B5C7C"/>
    <w:rsid w:val="000C4463"/>
    <w:rsid w:val="000D0279"/>
    <w:rsid w:val="000D0406"/>
    <w:rsid w:val="000D3B14"/>
    <w:rsid w:val="000E236A"/>
    <w:rsid w:val="00115CD2"/>
    <w:rsid w:val="00124D59"/>
    <w:rsid w:val="0012750D"/>
    <w:rsid w:val="00180D8C"/>
    <w:rsid w:val="001A15BE"/>
    <w:rsid w:val="001A35C6"/>
    <w:rsid w:val="001A4E30"/>
    <w:rsid w:val="001B5AF7"/>
    <w:rsid w:val="001E45B8"/>
    <w:rsid w:val="001F1EC3"/>
    <w:rsid w:val="00206043"/>
    <w:rsid w:val="0022397C"/>
    <w:rsid w:val="00244944"/>
    <w:rsid w:val="00252EDC"/>
    <w:rsid w:val="00260BB2"/>
    <w:rsid w:val="00277353"/>
    <w:rsid w:val="00277EBF"/>
    <w:rsid w:val="0029197B"/>
    <w:rsid w:val="002A7787"/>
    <w:rsid w:val="002C14C8"/>
    <w:rsid w:val="002C771E"/>
    <w:rsid w:val="002D57BF"/>
    <w:rsid w:val="002D79F1"/>
    <w:rsid w:val="002E248E"/>
    <w:rsid w:val="002F54A7"/>
    <w:rsid w:val="00314875"/>
    <w:rsid w:val="00314C32"/>
    <w:rsid w:val="0032024A"/>
    <w:rsid w:val="0036516C"/>
    <w:rsid w:val="00395381"/>
    <w:rsid w:val="003A1AE9"/>
    <w:rsid w:val="003B32F4"/>
    <w:rsid w:val="003C5E7F"/>
    <w:rsid w:val="003E386C"/>
    <w:rsid w:val="004125CE"/>
    <w:rsid w:val="00414497"/>
    <w:rsid w:val="004157CE"/>
    <w:rsid w:val="004356CE"/>
    <w:rsid w:val="00436E2D"/>
    <w:rsid w:val="004572AA"/>
    <w:rsid w:val="004700B7"/>
    <w:rsid w:val="00472E8E"/>
    <w:rsid w:val="00475845"/>
    <w:rsid w:val="00492EFE"/>
    <w:rsid w:val="004B5107"/>
    <w:rsid w:val="004C04D8"/>
    <w:rsid w:val="004C6F52"/>
    <w:rsid w:val="004E4825"/>
    <w:rsid w:val="004F0480"/>
    <w:rsid w:val="004F483E"/>
    <w:rsid w:val="00537B26"/>
    <w:rsid w:val="00554388"/>
    <w:rsid w:val="005572BB"/>
    <w:rsid w:val="00573BD0"/>
    <w:rsid w:val="005844CB"/>
    <w:rsid w:val="0058522B"/>
    <w:rsid w:val="0059523A"/>
    <w:rsid w:val="00596D4F"/>
    <w:rsid w:val="005B0CD5"/>
    <w:rsid w:val="005D0889"/>
    <w:rsid w:val="005E4CFE"/>
    <w:rsid w:val="005F4812"/>
    <w:rsid w:val="00606506"/>
    <w:rsid w:val="00606904"/>
    <w:rsid w:val="00621796"/>
    <w:rsid w:val="006325A2"/>
    <w:rsid w:val="00633A0F"/>
    <w:rsid w:val="00636D30"/>
    <w:rsid w:val="00636F8A"/>
    <w:rsid w:val="00670A59"/>
    <w:rsid w:val="00687408"/>
    <w:rsid w:val="006B4073"/>
    <w:rsid w:val="006C20C0"/>
    <w:rsid w:val="006D3BF9"/>
    <w:rsid w:val="006D596F"/>
    <w:rsid w:val="006D654C"/>
    <w:rsid w:val="006D78E9"/>
    <w:rsid w:val="006E0A9C"/>
    <w:rsid w:val="006E1D94"/>
    <w:rsid w:val="006E76B9"/>
    <w:rsid w:val="007041FB"/>
    <w:rsid w:val="00706E8E"/>
    <w:rsid w:val="007149F8"/>
    <w:rsid w:val="0073230A"/>
    <w:rsid w:val="00754826"/>
    <w:rsid w:val="00754B71"/>
    <w:rsid w:val="00755E57"/>
    <w:rsid w:val="00766127"/>
    <w:rsid w:val="00783419"/>
    <w:rsid w:val="00794D7C"/>
    <w:rsid w:val="00795968"/>
    <w:rsid w:val="007A20BD"/>
    <w:rsid w:val="007A4E86"/>
    <w:rsid w:val="007A71DA"/>
    <w:rsid w:val="007D7796"/>
    <w:rsid w:val="007E57BA"/>
    <w:rsid w:val="00813331"/>
    <w:rsid w:val="008177EC"/>
    <w:rsid w:val="008269B9"/>
    <w:rsid w:val="00830FE8"/>
    <w:rsid w:val="008425AF"/>
    <w:rsid w:val="008500C8"/>
    <w:rsid w:val="00875A41"/>
    <w:rsid w:val="008906FA"/>
    <w:rsid w:val="008B586B"/>
    <w:rsid w:val="008D3C50"/>
    <w:rsid w:val="008D450E"/>
    <w:rsid w:val="008E45D9"/>
    <w:rsid w:val="00924AA7"/>
    <w:rsid w:val="009379AE"/>
    <w:rsid w:val="00945D58"/>
    <w:rsid w:val="00946167"/>
    <w:rsid w:val="0097517D"/>
    <w:rsid w:val="009A1435"/>
    <w:rsid w:val="009A4EA7"/>
    <w:rsid w:val="009A6F6E"/>
    <w:rsid w:val="009B0728"/>
    <w:rsid w:val="009B4B3F"/>
    <w:rsid w:val="009B56BC"/>
    <w:rsid w:val="009C65AA"/>
    <w:rsid w:val="009F30D6"/>
    <w:rsid w:val="00A23D79"/>
    <w:rsid w:val="00A56AEE"/>
    <w:rsid w:val="00A63116"/>
    <w:rsid w:val="00A71E96"/>
    <w:rsid w:val="00AA67F7"/>
    <w:rsid w:val="00AC7D8D"/>
    <w:rsid w:val="00AD0796"/>
    <w:rsid w:val="00AD08A8"/>
    <w:rsid w:val="00AF2411"/>
    <w:rsid w:val="00B06536"/>
    <w:rsid w:val="00B143E5"/>
    <w:rsid w:val="00B33DFD"/>
    <w:rsid w:val="00B44B57"/>
    <w:rsid w:val="00B472BA"/>
    <w:rsid w:val="00B47C9B"/>
    <w:rsid w:val="00B57A47"/>
    <w:rsid w:val="00B672A7"/>
    <w:rsid w:val="00BA0AB2"/>
    <w:rsid w:val="00BB2261"/>
    <w:rsid w:val="00BC031D"/>
    <w:rsid w:val="00BE69FD"/>
    <w:rsid w:val="00BE7857"/>
    <w:rsid w:val="00C068AB"/>
    <w:rsid w:val="00C1408A"/>
    <w:rsid w:val="00C169BF"/>
    <w:rsid w:val="00C25A60"/>
    <w:rsid w:val="00C34F0D"/>
    <w:rsid w:val="00C42810"/>
    <w:rsid w:val="00C53CCE"/>
    <w:rsid w:val="00C57133"/>
    <w:rsid w:val="00C63E50"/>
    <w:rsid w:val="00C802D6"/>
    <w:rsid w:val="00C854D5"/>
    <w:rsid w:val="00C937C0"/>
    <w:rsid w:val="00C94761"/>
    <w:rsid w:val="00CA1BD2"/>
    <w:rsid w:val="00CA2F6D"/>
    <w:rsid w:val="00CC11A0"/>
    <w:rsid w:val="00CD59A5"/>
    <w:rsid w:val="00CE0506"/>
    <w:rsid w:val="00CF0634"/>
    <w:rsid w:val="00CF0A8B"/>
    <w:rsid w:val="00CF5303"/>
    <w:rsid w:val="00CF7E8C"/>
    <w:rsid w:val="00D0761B"/>
    <w:rsid w:val="00D24953"/>
    <w:rsid w:val="00D25A00"/>
    <w:rsid w:val="00D3536E"/>
    <w:rsid w:val="00D517EF"/>
    <w:rsid w:val="00D70D4D"/>
    <w:rsid w:val="00D73357"/>
    <w:rsid w:val="00D73A21"/>
    <w:rsid w:val="00D84CEC"/>
    <w:rsid w:val="00D96D17"/>
    <w:rsid w:val="00DA3A6D"/>
    <w:rsid w:val="00DC13E6"/>
    <w:rsid w:val="00DC210A"/>
    <w:rsid w:val="00DF5987"/>
    <w:rsid w:val="00E03642"/>
    <w:rsid w:val="00E054A7"/>
    <w:rsid w:val="00E2122D"/>
    <w:rsid w:val="00E3582B"/>
    <w:rsid w:val="00E46C67"/>
    <w:rsid w:val="00E75428"/>
    <w:rsid w:val="00E77B62"/>
    <w:rsid w:val="00E80436"/>
    <w:rsid w:val="00EB242A"/>
    <w:rsid w:val="00EC7745"/>
    <w:rsid w:val="00EE3B37"/>
    <w:rsid w:val="00EE60DF"/>
    <w:rsid w:val="00EF5A0C"/>
    <w:rsid w:val="00F04AAB"/>
    <w:rsid w:val="00F1412C"/>
    <w:rsid w:val="00F21848"/>
    <w:rsid w:val="00F3126D"/>
    <w:rsid w:val="00F359C3"/>
    <w:rsid w:val="00F41991"/>
    <w:rsid w:val="00F4621F"/>
    <w:rsid w:val="00F63F1E"/>
    <w:rsid w:val="00F829E0"/>
    <w:rsid w:val="00F87EFA"/>
    <w:rsid w:val="00FB2FC4"/>
    <w:rsid w:val="00FD1C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unhideWhenUsed/>
    <w:rsid w:val="00CE0506"/>
    <w:rPr>
      <w:sz w:val="20"/>
      <w:szCs w:val="20"/>
    </w:rPr>
  </w:style>
  <w:style w:type="character" w:customStyle="1" w:styleId="CommentTextChar">
    <w:name w:val="Comment Text Char"/>
    <w:link w:val="CommentText"/>
    <w:uiPriority w:val="99"/>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unhideWhenUsed/>
    <w:rsid w:val="00CE0506"/>
    <w:rPr>
      <w:sz w:val="20"/>
      <w:szCs w:val="20"/>
    </w:rPr>
  </w:style>
  <w:style w:type="character" w:customStyle="1" w:styleId="CommentTextChar">
    <w:name w:val="Comment Text Char"/>
    <w:link w:val="CommentText"/>
    <w:uiPriority w:val="99"/>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D4252A5-FAAF-4652-BF52-9DB9D87D2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930</Words>
  <Characters>5301</Characters>
  <Application>Microsoft Office Word</Application>
  <DocSecurity>0</DocSecurity>
  <Lines>44</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6219</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dc:creator>
  <cp:lastModifiedBy>Chris Heidenrich OCKT</cp:lastModifiedBy>
  <cp:revision>3</cp:revision>
  <cp:lastPrinted>2015-01-21T20:34:00Z</cp:lastPrinted>
  <dcterms:created xsi:type="dcterms:W3CDTF">2016-08-03T19:02:00Z</dcterms:created>
  <dcterms:modified xsi:type="dcterms:W3CDTF">2017-03-08T20:41:00Z</dcterms:modified>
</cp:coreProperties>
</file>