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D17" w:rsidRPr="00D832B0" w:rsidRDefault="00B33DFD" w:rsidP="00B33DFD">
      <w:pPr>
        <w:pStyle w:val="NoSpacing"/>
        <w:jc w:val="center"/>
        <w:rPr>
          <w:rStyle w:val="Heading1Char"/>
          <w:rFonts w:eastAsia="Calibri" w:cs="Arial"/>
          <w:b w:val="0"/>
          <w:bCs w:val="0"/>
          <w:color w:val="FFFFFF" w:themeColor="background1"/>
          <w:spacing w:val="5"/>
          <w:sz w:val="36"/>
          <w:szCs w:val="36"/>
        </w:rPr>
      </w:pPr>
      <w:bookmarkStart w:id="0" w:name="_GoBack"/>
      <w:bookmarkEnd w:id="0"/>
      <w:r w:rsidRPr="00D832B0">
        <w:rPr>
          <w:rFonts w:ascii="Arial" w:hAnsi="Arial"/>
          <w:sz w:val="36"/>
          <w:szCs w:val="36"/>
        </w:rPr>
        <w:t>Lista de verificación para directivos</w:t>
      </w:r>
    </w:p>
    <w:p w:rsidR="00D96D17" w:rsidRPr="00D832B0" w:rsidRDefault="00D96D17" w:rsidP="00FD1CAC">
      <w:pPr>
        <w:spacing w:after="0" w:line="240" w:lineRule="auto"/>
        <w:rPr>
          <w:rStyle w:val="Heading1Char"/>
          <w:rFonts w:eastAsia="Calibri" w:cs="Arial"/>
          <w:szCs w:val="24"/>
        </w:rPr>
      </w:pPr>
    </w:p>
    <w:p w:rsidR="00EB06C5" w:rsidRPr="00D832B0" w:rsidRDefault="00EB06C5" w:rsidP="00EB06C5">
      <w:pPr>
        <w:spacing w:after="0" w:line="240" w:lineRule="auto"/>
        <w:rPr>
          <w:sz w:val="22"/>
        </w:rPr>
      </w:pPr>
      <w:r w:rsidRPr="00D832B0">
        <w:rPr>
          <w:rStyle w:val="Heading1Char"/>
          <w:rFonts w:ascii="Times New Roman" w:eastAsia="Calibri" w:hAnsi="Times New Roman"/>
          <w:sz w:val="22"/>
          <w:szCs w:val="22"/>
        </w:rPr>
        <w:t xml:space="preserve">Objetivo: </w:t>
      </w:r>
      <w:r w:rsidRPr="00D832B0">
        <w:rPr>
          <w:rStyle w:val="Heading1Char"/>
          <w:rFonts w:ascii="Times New Roman" w:eastAsia="Calibri" w:hAnsi="Times New Roman"/>
          <w:b w:val="0"/>
          <w:sz w:val="22"/>
          <w:szCs w:val="22"/>
        </w:rPr>
        <w:t xml:space="preserve">Brindarles a los directivos una lista de verificación para planificar e implementar </w:t>
      </w:r>
      <w:r w:rsidRPr="00D832B0">
        <w:rPr>
          <w:sz w:val="22"/>
        </w:rPr>
        <w:t>proyectos de seguridad y mejora de la calidad para los residentes en un centro de cuidados a largo plazo.</w:t>
      </w:r>
    </w:p>
    <w:p w:rsidR="00EB06C5" w:rsidRPr="00D832B0" w:rsidRDefault="00EB06C5" w:rsidP="00EB06C5">
      <w:pPr>
        <w:spacing w:after="0" w:line="240" w:lineRule="auto"/>
        <w:rPr>
          <w:rStyle w:val="Heading1Char"/>
          <w:rFonts w:ascii="Times New Roman" w:eastAsia="Calibri" w:hAnsi="Times New Roman"/>
          <w:b w:val="0"/>
          <w:sz w:val="22"/>
          <w:szCs w:val="22"/>
        </w:rPr>
      </w:pPr>
    </w:p>
    <w:p w:rsidR="00EB06C5" w:rsidRPr="00D832B0" w:rsidRDefault="00EB06C5" w:rsidP="00EB06C5">
      <w:pPr>
        <w:spacing w:after="0" w:line="240" w:lineRule="auto"/>
        <w:rPr>
          <w:sz w:val="22"/>
        </w:rPr>
      </w:pPr>
      <w:r w:rsidRPr="00D832B0">
        <w:rPr>
          <w:rStyle w:val="Heading1Char"/>
          <w:rFonts w:ascii="Times New Roman" w:eastAsia="Calibri" w:hAnsi="Times New Roman"/>
          <w:sz w:val="22"/>
          <w:szCs w:val="22"/>
        </w:rPr>
        <w:t>¿Quién debe utilizar esta herramienta?</w:t>
      </w:r>
      <w:r w:rsidRPr="00D832B0">
        <w:rPr>
          <w:b/>
          <w:sz w:val="22"/>
        </w:rPr>
        <w:t xml:space="preserve"> </w:t>
      </w:r>
      <w:r w:rsidRPr="00D832B0">
        <w:rPr>
          <w:sz w:val="22"/>
        </w:rPr>
        <w:t>Los directivos (administrador del centro de cuidados a largo plazo, director de enfermería, director médico, etc.).</w:t>
      </w:r>
    </w:p>
    <w:p w:rsidR="00EB06C5" w:rsidRPr="00D832B0" w:rsidRDefault="00EB06C5" w:rsidP="00EB06C5">
      <w:pPr>
        <w:spacing w:after="0" w:line="240" w:lineRule="auto"/>
        <w:rPr>
          <w:bCs/>
          <w:sz w:val="22"/>
        </w:rPr>
      </w:pPr>
    </w:p>
    <w:p w:rsidR="00EB06C5" w:rsidRPr="00D832B0" w:rsidRDefault="00EB06C5" w:rsidP="00EB06C5">
      <w:pPr>
        <w:spacing w:after="0" w:line="240" w:lineRule="auto"/>
        <w:rPr>
          <w:sz w:val="22"/>
        </w:rPr>
      </w:pPr>
      <w:r w:rsidRPr="00D832B0">
        <w:rPr>
          <w:b/>
          <w:sz w:val="22"/>
        </w:rPr>
        <w:t xml:space="preserve">¿Cómo debería usar esta herramienta?  </w:t>
      </w:r>
      <w:r w:rsidRPr="00D832B0">
        <w:rPr>
          <w:sz w:val="22"/>
        </w:rPr>
        <w:t xml:space="preserve">El texto resaltado puede editarse para incluir los objetivos y los nombres de proyectos específicos de cada centro. </w:t>
      </w:r>
    </w:p>
    <w:p w:rsidR="00EB06C5" w:rsidRPr="00D832B0" w:rsidRDefault="00EB06C5" w:rsidP="00EB06C5">
      <w:pPr>
        <w:spacing w:after="0" w:line="240" w:lineRule="auto"/>
        <w:rPr>
          <w:sz w:val="22"/>
        </w:rPr>
      </w:pPr>
    </w:p>
    <w:tbl>
      <w:tblPr>
        <w:tblpPr w:leftFromText="180" w:rightFromText="180" w:vertAnchor="text" w:horzAnchor="margin" w:tblpX="-594" w:tblpY="112"/>
        <w:tblW w:w="10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332"/>
        <w:gridCol w:w="6570"/>
        <w:gridCol w:w="1440"/>
        <w:gridCol w:w="1350"/>
      </w:tblGrid>
      <w:tr w:rsidR="00EB06C5" w:rsidRPr="00D832B0" w:rsidTr="00CF335C">
        <w:tc>
          <w:tcPr>
            <w:tcW w:w="1332" w:type="dxa"/>
            <w:shd w:val="clear" w:color="auto" w:fill="B6DDE8" w:themeFill="accent5" w:themeFillTint="66"/>
          </w:tcPr>
          <w:p w:rsidR="00EB06C5" w:rsidRPr="00D832B0" w:rsidRDefault="006C3B4A" w:rsidP="00CF335C">
            <w:pPr>
              <w:pStyle w:val="NoSpacing"/>
              <w:spacing w:line="276" w:lineRule="auto"/>
              <w:jc w:val="center"/>
              <w:rPr>
                <w:b/>
                <w:sz w:val="22"/>
              </w:rPr>
            </w:pPr>
            <w:r>
              <w:rPr>
                <w:b/>
                <w:sz w:val="22"/>
              </w:rPr>
              <w:t>Se completó</w:t>
            </w:r>
          </w:p>
          <w:p w:rsidR="00EB06C5" w:rsidRPr="00D832B0" w:rsidRDefault="00EB06C5" w:rsidP="00CF335C">
            <w:pPr>
              <w:pStyle w:val="NoSpacing"/>
              <w:spacing w:line="276" w:lineRule="auto"/>
              <w:jc w:val="center"/>
              <w:rPr>
                <w:b/>
                <w:sz w:val="22"/>
              </w:rPr>
            </w:pPr>
            <w:r w:rsidRPr="00D832B0">
              <w:rPr>
                <w:b/>
                <w:sz w:val="22"/>
              </w:rPr>
              <w:sym w:font="Wingdings" w:char="F0FC"/>
            </w:r>
          </w:p>
        </w:tc>
        <w:tc>
          <w:tcPr>
            <w:tcW w:w="657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Tarea</w:t>
            </w:r>
          </w:p>
        </w:tc>
        <w:tc>
          <w:tcPr>
            <w:tcW w:w="144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 xml:space="preserve">Parte responsable </w:t>
            </w:r>
          </w:p>
        </w:tc>
        <w:tc>
          <w:tcPr>
            <w:tcW w:w="135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Notas</w:t>
            </w:r>
          </w:p>
        </w:tc>
      </w:tr>
      <w:tr w:rsidR="00EB06C5" w:rsidRPr="00D832B0" w:rsidTr="00CF335C">
        <w:trPr>
          <w:cantSplit/>
          <w:trHeight w:val="383"/>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 xml:space="preserve">Asignar a un directivo (administrador, director o jefe) para que se desempeñe como integrante activo del equipo del </w:t>
            </w:r>
            <w:r w:rsidRPr="00D832B0">
              <w:rPr>
                <w:sz w:val="22"/>
                <w:highlight w:val="yellow"/>
              </w:rPr>
              <w:t>Programa de seguridad de la AHRQ para cuidados a largo plazo: HAI/CAUTI</w:t>
            </w:r>
            <w:r w:rsidRPr="00D832B0">
              <w:rPr>
                <w:sz w:val="22"/>
              </w:rPr>
              <w:t xml:space="preserve"> y </w:t>
            </w:r>
            <w:r w:rsidR="00F20434" w:rsidRPr="00D832B0">
              <w:rPr>
                <w:sz w:val="22"/>
              </w:rPr>
              <w:t xml:space="preserve">para que </w:t>
            </w:r>
            <w:r w:rsidRPr="00D832B0">
              <w:rPr>
                <w:sz w:val="22"/>
              </w:rPr>
              <w:t>se reúna con los equipos del centro como mínimo una vez por mes.</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i/>
                <w:sz w:val="22"/>
              </w:rPr>
            </w:pPr>
          </w:p>
        </w:tc>
      </w:tr>
      <w:tr w:rsidR="00EB06C5" w:rsidRPr="00D832B0" w:rsidTr="00CF335C">
        <w:trPr>
          <w:cantSplit/>
          <w:trHeight w:val="383"/>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 xml:space="preserve">Garantizar que todos los empleados reciban información y capacitación sobre el </w:t>
            </w:r>
            <w:r w:rsidRPr="00D832B0">
              <w:rPr>
                <w:sz w:val="22"/>
                <w:highlight w:val="yellow"/>
              </w:rPr>
              <w:t>Programa de seguridad de la AHRQ para cuidados a largo plazo: HAI/CAUTI.</w:t>
            </w:r>
            <w:r w:rsidRPr="00D832B0">
              <w:rPr>
                <w:sz w:val="22"/>
              </w:rPr>
              <w:t xml:space="preserve"> </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i/>
                <w:sz w:val="22"/>
              </w:rPr>
            </w:pPr>
          </w:p>
        </w:tc>
      </w:tr>
      <w:tr w:rsidR="00EB06C5" w:rsidRPr="00D832B0" w:rsidTr="00CF335C">
        <w:trPr>
          <w:cantSplit/>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 xml:space="preserve">Priorizar la </w:t>
            </w:r>
            <w:r w:rsidRPr="00D832B0">
              <w:rPr>
                <w:sz w:val="22"/>
                <w:highlight w:val="yellow"/>
              </w:rPr>
              <w:t>reducción de las infecciones en las vías urinarias por el uso de catéteres (CAUTI)</w:t>
            </w:r>
            <w:r w:rsidRPr="00D832B0">
              <w:rPr>
                <w:sz w:val="22"/>
              </w:rPr>
              <w:t xml:space="preserve"> como un objetivo de todo el centro. Incluir este objetivo en el plan estratégico del centro.</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 xml:space="preserve">Colaborar con el personal, los residentes y los familiares en la elaboración de un plan coordinado para alcanzar la meta de la </w:t>
            </w:r>
            <w:r w:rsidRPr="00D832B0">
              <w:rPr>
                <w:sz w:val="22"/>
                <w:highlight w:val="yellow"/>
              </w:rPr>
              <w:t>reducción de las CAUTI</w:t>
            </w:r>
            <w:r w:rsidRPr="00D832B0">
              <w:rPr>
                <w:sz w:val="22"/>
              </w:rPr>
              <w:t xml:space="preserve"> en todo el centro de cuidados a largo plazo.</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Trabajar con el equipo del centro para determinar cómo sería el éxito del proyecto, hacer planes para integrar el proceso en la cultura del centro y pensar en la sostenibilidad.</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Height w:val="338"/>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Generar un proceso para promover la responsabilidad en todo el centro monitorizando y asegurando el avance de los equipos con respecto a las actividades acordadas del proyecto.</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Height w:val="338"/>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 xml:space="preserve">Requerir que la oficina correspondiente (p. ej., Prevención de Infecciones) produzca un informe semanal de problemas. Garantizar que haya un límite claro dentro de la información, que indique temas preocupantes que requieran acción inmediata. El directivo debe investigar, comunicar y conducir la planificación de acciones con respecto a estas inquietudes.  </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Height w:val="338"/>
        </w:trPr>
        <w:tc>
          <w:tcPr>
            <w:tcW w:w="1332" w:type="dxa"/>
            <w:shd w:val="clear" w:color="auto" w:fill="B6DDE8" w:themeFill="accent5" w:themeFillTint="66"/>
          </w:tcPr>
          <w:p w:rsidR="00EB06C5" w:rsidRPr="00D832B0" w:rsidRDefault="006C3B4A" w:rsidP="00CF335C">
            <w:pPr>
              <w:pStyle w:val="NoSpacing"/>
              <w:spacing w:line="276" w:lineRule="auto"/>
              <w:jc w:val="center"/>
              <w:rPr>
                <w:b/>
                <w:sz w:val="22"/>
              </w:rPr>
            </w:pPr>
            <w:r>
              <w:rPr>
                <w:b/>
                <w:sz w:val="22"/>
              </w:rPr>
              <w:lastRenderedPageBreak/>
              <w:t>Se completó</w:t>
            </w:r>
          </w:p>
          <w:p w:rsidR="00EB06C5" w:rsidRPr="00D832B0" w:rsidRDefault="00EB06C5" w:rsidP="00CF335C">
            <w:pPr>
              <w:pStyle w:val="NoSpacing"/>
              <w:spacing w:line="276" w:lineRule="auto"/>
              <w:jc w:val="center"/>
              <w:rPr>
                <w:b/>
                <w:sz w:val="22"/>
              </w:rPr>
            </w:pPr>
            <w:r w:rsidRPr="00D832B0">
              <w:rPr>
                <w:b/>
                <w:sz w:val="22"/>
              </w:rPr>
              <w:sym w:font="Wingdings" w:char="F0FC"/>
            </w:r>
          </w:p>
        </w:tc>
        <w:tc>
          <w:tcPr>
            <w:tcW w:w="657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Tarea</w:t>
            </w:r>
          </w:p>
        </w:tc>
        <w:tc>
          <w:tcPr>
            <w:tcW w:w="144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 xml:space="preserve">Parte responsable </w:t>
            </w:r>
          </w:p>
        </w:tc>
        <w:tc>
          <w:tcPr>
            <w:tcW w:w="1350" w:type="dxa"/>
            <w:shd w:val="clear" w:color="auto" w:fill="B6DDE8" w:themeFill="accent5" w:themeFillTint="66"/>
          </w:tcPr>
          <w:p w:rsidR="00EB06C5" w:rsidRPr="00D832B0" w:rsidRDefault="00EB06C5" w:rsidP="00CF335C">
            <w:pPr>
              <w:pStyle w:val="NoSpacing"/>
              <w:spacing w:line="276" w:lineRule="auto"/>
              <w:jc w:val="center"/>
              <w:rPr>
                <w:b/>
                <w:sz w:val="22"/>
              </w:rPr>
            </w:pPr>
            <w:r w:rsidRPr="00D832B0">
              <w:rPr>
                <w:b/>
                <w:sz w:val="22"/>
              </w:rPr>
              <w:t>Notas</w:t>
            </w:r>
          </w:p>
        </w:tc>
      </w:tr>
      <w:tr w:rsidR="00EB06C5" w:rsidRPr="00D832B0" w:rsidTr="00CF335C">
        <w:trPr>
          <w:cantSplit/>
          <w:trHeight w:val="692"/>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Promover el aprendizaje en la organización difundiendo lecciones que hablen acerca de “aprender de los defectos”.</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Height w:val="338"/>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Reconocer las necesidades del proyecto y facilitar tiempo y recursos administrativos para apoyar la participación del personal. Darles tiempo a los jefes de equipos (médicos, profesionales de enfermería, asistentes de enfermería certificados, recopiladores de datos, etc.) para que lleven a cabo sus tareas.</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cantSplit/>
          <w:trHeight w:val="562"/>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Reconocer el trabajo de los equipos y celebrar su éxito. Publicar historias en el boletín de noticias del centro y brindar oportunidades para que los equipos compartan historias de éxito con la administración y con otros equipos.</w:t>
            </w:r>
          </w:p>
        </w:tc>
        <w:tc>
          <w:tcPr>
            <w:tcW w:w="1440" w:type="dxa"/>
          </w:tcPr>
          <w:p w:rsidR="00EB06C5" w:rsidRPr="00D832B0" w:rsidRDefault="00EB06C5" w:rsidP="00CF335C">
            <w:pPr>
              <w:pStyle w:val="NoSpacing"/>
              <w:spacing w:line="276" w:lineRule="auto"/>
              <w:rPr>
                <w:i/>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562"/>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Monitorizar el avance hacia la meta, como mínimo, cada tres meses e informar sobre el desempeño a todos los empleados y a la junta directiva.</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r w:rsidRPr="00D832B0">
              <w:rPr>
                <w:sz w:val="22"/>
              </w:rPr>
              <w:t>Hacer de las rondas ejecutivas una práctica estándar en toda la organización.</w:t>
            </w: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r w:rsidR="00EB06C5" w:rsidRPr="00D832B0" w:rsidTr="00CF335C">
        <w:trPr>
          <w:trHeight w:val="260"/>
        </w:trPr>
        <w:tc>
          <w:tcPr>
            <w:tcW w:w="1332" w:type="dxa"/>
          </w:tcPr>
          <w:p w:rsidR="00EB06C5" w:rsidRPr="00D832B0" w:rsidRDefault="00EB06C5" w:rsidP="00CF335C">
            <w:pPr>
              <w:pStyle w:val="NoSpacing"/>
              <w:spacing w:line="276" w:lineRule="auto"/>
              <w:rPr>
                <w:sz w:val="22"/>
              </w:rPr>
            </w:pPr>
          </w:p>
        </w:tc>
        <w:tc>
          <w:tcPr>
            <w:tcW w:w="6570" w:type="dxa"/>
          </w:tcPr>
          <w:p w:rsidR="00EB06C5" w:rsidRPr="00D832B0" w:rsidRDefault="00EB06C5" w:rsidP="00CF335C">
            <w:pPr>
              <w:pStyle w:val="NoSpacing"/>
              <w:spacing w:line="276" w:lineRule="auto"/>
              <w:rPr>
                <w:sz w:val="22"/>
              </w:rPr>
            </w:pPr>
          </w:p>
        </w:tc>
        <w:tc>
          <w:tcPr>
            <w:tcW w:w="1440" w:type="dxa"/>
          </w:tcPr>
          <w:p w:rsidR="00EB06C5" w:rsidRPr="00D832B0" w:rsidRDefault="00EB06C5" w:rsidP="00CF335C">
            <w:pPr>
              <w:pStyle w:val="NoSpacing"/>
              <w:spacing w:line="276" w:lineRule="auto"/>
              <w:rPr>
                <w:sz w:val="22"/>
              </w:rPr>
            </w:pPr>
          </w:p>
        </w:tc>
        <w:tc>
          <w:tcPr>
            <w:tcW w:w="1350" w:type="dxa"/>
          </w:tcPr>
          <w:p w:rsidR="00EB06C5" w:rsidRPr="00D832B0" w:rsidRDefault="00EB06C5" w:rsidP="00CF335C">
            <w:pPr>
              <w:pStyle w:val="NoSpacing"/>
              <w:spacing w:line="276" w:lineRule="auto"/>
              <w:rPr>
                <w:sz w:val="22"/>
              </w:rPr>
            </w:pPr>
          </w:p>
        </w:tc>
      </w:tr>
    </w:tbl>
    <w:p w:rsidR="00FD1CAC" w:rsidRPr="00D832B0" w:rsidRDefault="00FD1CAC" w:rsidP="00FD1CAC">
      <w:pPr>
        <w:rPr>
          <w:rFonts w:ascii="Arial" w:hAnsi="Arial" w:cs="Arial"/>
          <w:sz w:val="22"/>
        </w:rPr>
      </w:pPr>
    </w:p>
    <w:sectPr w:rsidR="00FD1CAC" w:rsidRPr="00D832B0" w:rsidSect="00EB06C5">
      <w:headerReference w:type="even" r:id="rId9"/>
      <w:footerReference w:type="default" r:id="rId10"/>
      <w:headerReference w:type="first" r:id="rId11"/>
      <w:footerReference w:type="first" r:id="rId12"/>
      <w:pgSz w:w="12240" w:h="15840" w:code="1"/>
      <w:pgMar w:top="2794" w:right="1350" w:bottom="1440" w:left="1440" w:header="720" w:footer="72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C8C" w:rsidRDefault="006E4C8C" w:rsidP="00F359C3">
      <w:pPr>
        <w:spacing w:after="0" w:line="240" w:lineRule="auto"/>
      </w:pPr>
      <w:r>
        <w:separator/>
      </w:r>
    </w:p>
  </w:endnote>
  <w:endnote w:type="continuationSeparator" w:id="0">
    <w:p w:rsidR="006E4C8C" w:rsidRDefault="006E4C8C"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Default="00B33DFD" w:rsidP="002872BD">
    <w:pPr>
      <w:pStyle w:val="Footer"/>
      <w:ind w:left="3960" w:firstLine="2430"/>
      <w:rPr>
        <w:rFonts w:ascii="Arial" w:hAnsi="Arial" w:cs="Arial"/>
        <w:sz w:val="18"/>
        <w:szCs w:val="18"/>
      </w:rPr>
    </w:pPr>
    <w:r>
      <w:rPr>
        <w:rFonts w:ascii="Arial" w:hAnsi="Arial" w:cs="Arial"/>
        <w:noProof/>
        <w:sz w:val="18"/>
        <w:szCs w:val="18"/>
        <w:lang w:val="en-US" w:eastAsia="en-US" w:bidi="ar-SA"/>
      </w:rPr>
      <w:drawing>
        <wp:anchor distT="0" distB="0" distL="114300" distR="114300" simplePos="0" relativeHeight="251658752" behindDoc="1" locked="0" layoutInCell="1" allowOverlap="1" wp14:anchorId="61EC8FC2" wp14:editId="4B53E443">
          <wp:simplePos x="0" y="0"/>
          <wp:positionH relativeFrom="column">
            <wp:posOffset>-951230</wp:posOffset>
          </wp:positionH>
          <wp:positionV relativeFrom="paragraph">
            <wp:posOffset>239395</wp:posOffset>
          </wp:positionV>
          <wp:extent cx="6995795" cy="456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656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   </w:t>
    </w:r>
    <w:r w:rsidR="002872BD">
      <w:rPr>
        <w:rFonts w:ascii="Arial" w:hAnsi="Arial"/>
        <w:sz w:val="18"/>
      </w:rPr>
      <w:t xml:space="preserve">AHRQ Pub. No. </w:t>
    </w:r>
    <w:r>
      <w:rPr>
        <w:rFonts w:ascii="Arial" w:hAnsi="Arial"/>
        <w:sz w:val="18"/>
      </w:rPr>
      <w:t>16</w:t>
    </w:r>
    <w:r w:rsidR="002872BD">
      <w:rPr>
        <w:rFonts w:ascii="Arial" w:hAnsi="Arial"/>
        <w:sz w:val="18"/>
      </w:rPr>
      <w:t>(17)</w:t>
    </w:r>
    <w:r>
      <w:rPr>
        <w:rFonts w:ascii="Arial" w:hAnsi="Arial"/>
        <w:sz w:val="18"/>
      </w:rPr>
      <w:t>-0003-03-EF</w:t>
    </w:r>
  </w:p>
  <w:p w:rsidR="00B33DFD" w:rsidRDefault="00B33DFD" w:rsidP="002872BD">
    <w:pPr>
      <w:pStyle w:val="Footer"/>
      <w:jc w:val="right"/>
      <w:rPr>
        <w:rFonts w:ascii="Arial" w:hAnsi="Arial" w:cs="Arial"/>
        <w:sz w:val="18"/>
        <w:szCs w:val="18"/>
      </w:rPr>
    </w:pPr>
    <w:r>
      <w:tab/>
    </w:r>
    <w:r>
      <w:rPr>
        <w:rFonts w:ascii="Arial" w:hAnsi="Arial"/>
        <w:sz w:val="18"/>
      </w:rPr>
      <w:t xml:space="preserve">                                                                                                                                  </w:t>
    </w:r>
    <w:r w:rsidR="002872BD">
      <w:rPr>
        <w:rFonts w:ascii="Arial" w:hAnsi="Arial"/>
        <w:sz w:val="18"/>
      </w:rPr>
      <w:t xml:space="preserve">                      Marzo</w:t>
    </w:r>
    <w:r>
      <w:rPr>
        <w:rFonts w:ascii="Arial" w:hAnsi="Arial"/>
        <w:sz w:val="18"/>
      </w:rPr>
      <w:t xml:space="preserve"> de 201</w:t>
    </w:r>
    <w:r w:rsidR="002872BD">
      <w:rPr>
        <w:rFonts w:ascii="Arial" w:hAnsi="Arial"/>
        <w:sz w:val="18"/>
      </w:rPr>
      <w:t>7</w:t>
    </w:r>
  </w:p>
  <w:p w:rsidR="00B33DFD" w:rsidRPr="00063F7C" w:rsidRDefault="00B33DFD" w:rsidP="00B33DFD">
    <w:pPr>
      <w:pStyle w:val="Footer"/>
      <w:rPr>
        <w:rFonts w:ascii="Arial" w:hAnsi="Arial" w:cs="Arial"/>
        <w:sz w:val="18"/>
        <w:szCs w:val="18"/>
      </w:rPr>
    </w:pPr>
    <w:r>
      <w:rPr>
        <w:rFonts w:ascii="Arial" w:hAnsi="Arial"/>
        <w:sz w:val="18"/>
      </w:rPr>
      <w:t>Programa de seguridad de la AHRQ para cuidados a largo plazo: HAI/CAUTI</w:t>
    </w:r>
    <w:r>
      <w:tab/>
    </w:r>
  </w:p>
  <w:p w:rsidR="00B33DFD" w:rsidRDefault="00B33DFD" w:rsidP="00B33DFD">
    <w:pPr>
      <w:pStyle w:val="Footer"/>
      <w:rPr>
        <w:rFonts w:ascii="Arial" w:hAnsi="Arial" w:cs="Arial"/>
        <w:sz w:val="18"/>
        <w:szCs w:val="18"/>
      </w:rPr>
    </w:pPr>
    <w:r>
      <w:rPr>
        <w:rFonts w:ascii="Arial" w:hAnsi="Arial"/>
        <w:sz w:val="18"/>
      </w:rPr>
      <w:t xml:space="preserve">Kit de herramientas de seguridad para cuidados a largo plazo </w:t>
    </w:r>
    <w:r>
      <w:tab/>
    </w:r>
    <w:r>
      <w:rPr>
        <w:rFonts w:ascii="Arial" w:hAnsi="Arial"/>
        <w:noProof/>
        <w:sz w:val="18"/>
      </w:rPr>
      <w:t xml:space="preserve"> </w:t>
    </w:r>
  </w:p>
  <w:p w:rsidR="009B4B3F" w:rsidRPr="00B33DFD" w:rsidRDefault="00B33DFD" w:rsidP="00D96D17">
    <w:pPr>
      <w:pStyle w:val="Footer"/>
    </w:pPr>
    <w:r>
      <w:rPr>
        <w:rFonts w:ascii="Arial" w:hAnsi="Arial"/>
        <w:sz w:val="18"/>
      </w:rPr>
      <w:t>Lista de verificación para directivos</w:t>
    </w:r>
    <w:r>
      <w:tab/>
    </w:r>
    <w:r>
      <w:tab/>
    </w:r>
    <w:r>
      <w:rPr>
        <w:rFonts w:ascii="Arial" w:hAnsi="Arial"/>
        <w:noProof/>
        <w:color w:val="FFFFFF" w:themeColor="background1"/>
        <w:sz w:val="18"/>
      </w:rPr>
      <w:t xml:space="preserve"> Participación de los directivos | </w:t>
    </w:r>
    <w:r w:rsidR="00D72EB6"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D72EB6" w:rsidRPr="00ED5F52">
      <w:rPr>
        <w:rFonts w:ascii="Arial" w:hAnsi="Arial" w:cs="Arial"/>
        <w:noProof/>
        <w:color w:val="FFFFFF" w:themeColor="background1"/>
        <w:sz w:val="18"/>
        <w:szCs w:val="18"/>
      </w:rPr>
      <w:fldChar w:fldCharType="separate"/>
    </w:r>
    <w:r w:rsidR="002872BD" w:rsidRPr="002872BD">
      <w:rPr>
        <w:rFonts w:ascii="Arial" w:hAnsi="Arial" w:cs="Arial"/>
        <w:bCs/>
        <w:noProof/>
        <w:color w:val="FFFFFF" w:themeColor="background1"/>
        <w:sz w:val="18"/>
        <w:szCs w:val="18"/>
      </w:rPr>
      <w:t>2</w:t>
    </w:r>
    <w:r w:rsidR="00D72EB6" w:rsidRPr="00ED5F52">
      <w:rPr>
        <w:rFonts w:ascii="Arial" w:hAnsi="Arial" w:cs="Arial"/>
        <w:bCs/>
        <w:noProof/>
        <w:color w:val="FFFFFF" w:themeColor="background1"/>
        <w:sz w:val="18"/>
        <w:szCs w:val="18"/>
      </w:rPr>
      <w:fldChar w:fldCharType="end"/>
    </w:r>
    <w:r>
      <w:rPr>
        <w:rFonts w:ascii="Arial" w:hAnsi="Arial"/>
        <w:noProof/>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796" w:rsidRDefault="00754826">
    <w:pPr>
      <w:pStyle w:val="Footer"/>
    </w:pPr>
    <w:r>
      <w:rPr>
        <w:noProof/>
        <w:lang w:val="en-US" w:eastAsia="en-US" w:bidi="ar-SA"/>
      </w:rPr>
      <w:drawing>
        <wp:anchor distT="0" distB="0" distL="114300" distR="114300" simplePos="0" relativeHeight="251657216" behindDoc="1" locked="0" layoutInCell="1" allowOverlap="1">
          <wp:simplePos x="0" y="0"/>
          <wp:positionH relativeFrom="column">
            <wp:posOffset>-914400</wp:posOffset>
          </wp:positionH>
          <wp:positionV relativeFrom="page">
            <wp:posOffset>9129233</wp:posOffset>
          </wp:positionV>
          <wp:extent cx="7768590" cy="700405"/>
          <wp:effectExtent l="0" t="0" r="3810" b="4445"/>
          <wp:wrapTight wrapText="bothSides">
            <wp:wrapPolygon edited="0">
              <wp:start x="0" y="0"/>
              <wp:lineTo x="0" y="21150"/>
              <wp:lineTo x="21558" y="21150"/>
              <wp:lineTo x="215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0040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C8C" w:rsidRDefault="006E4C8C" w:rsidP="00F359C3">
      <w:pPr>
        <w:spacing w:after="0" w:line="240" w:lineRule="auto"/>
      </w:pPr>
      <w:r>
        <w:separator/>
      </w:r>
    </w:p>
  </w:footnote>
  <w:footnote w:type="continuationSeparator" w:id="0">
    <w:p w:rsidR="006E4C8C" w:rsidRDefault="006E4C8C"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B3F" w:rsidRDefault="009B4B3F">
    <w:pPr>
      <w:pStyle w:val="Header"/>
    </w:pPr>
  </w:p>
  <w:p w:rsidR="009B4B3F" w:rsidRDefault="009B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FD" w:rsidRPr="00EE5538" w:rsidRDefault="00B33DFD" w:rsidP="00B33DFD">
    <w:pPr>
      <w:pStyle w:val="Title"/>
      <w:spacing w:after="0" w:line="360" w:lineRule="auto"/>
      <w:rPr>
        <w:rFonts w:cs="Arial"/>
        <w:b w:val="0"/>
        <w:color w:val="FFFFFF" w:themeColor="background1"/>
        <w:sz w:val="30"/>
        <w:szCs w:val="30"/>
      </w:rPr>
    </w:pPr>
    <w:r w:rsidRPr="00EE5538">
      <w:rPr>
        <w:rFonts w:cs="Arial"/>
        <w:b w:val="0"/>
        <w:noProof/>
        <w:color w:val="FFFFFF" w:themeColor="background1"/>
        <w:sz w:val="30"/>
        <w:szCs w:val="30"/>
        <w:lang w:val="en-US" w:eastAsia="en-US" w:bidi="ar-SA"/>
      </w:rPr>
      <w:drawing>
        <wp:anchor distT="0" distB="0" distL="114300" distR="114300" simplePos="0" relativeHeight="251660800" behindDoc="1" locked="0" layoutInCell="1" allowOverlap="1">
          <wp:simplePos x="0" y="0"/>
          <wp:positionH relativeFrom="column">
            <wp:posOffset>-903605</wp:posOffset>
          </wp:positionH>
          <wp:positionV relativeFrom="paragraph">
            <wp:posOffset>-437353</wp:posOffset>
          </wp:positionV>
          <wp:extent cx="7839075" cy="213714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839075" cy="2137144"/>
                  </a:xfrm>
                  <a:prstGeom prst="rect">
                    <a:avLst/>
                  </a:prstGeom>
                  <a:ln>
                    <a:noFill/>
                  </a:ln>
                  <a:extLst>
                    <a:ext uri="{53640926-AAD7-44D8-BBD7-CCE9431645EC}">
                      <a14:shadowObscured xmlns:a14="http://schemas.microsoft.com/office/drawing/2010/main"/>
                    </a:ext>
                  </a:extLst>
                </pic:spPr>
              </pic:pic>
            </a:graphicData>
          </a:graphic>
        </wp:anchor>
      </w:drawing>
    </w:r>
    <w:r w:rsidRPr="00EE5538">
      <w:rPr>
        <w:b w:val="0"/>
        <w:color w:val="FFFFFF" w:themeColor="background1"/>
        <w:sz w:val="30"/>
        <w:szCs w:val="30"/>
      </w:rPr>
      <w:t>Programa de seguridad de la AHRQ para cuidados a largo plazo: HAI/CAUTI</w:t>
    </w:r>
  </w:p>
  <w:p w:rsidR="00B33DFD" w:rsidRPr="00EE5538" w:rsidRDefault="00B33DFD" w:rsidP="00B33DFD">
    <w:pPr>
      <w:pStyle w:val="NoSpacing"/>
      <w:spacing w:line="480" w:lineRule="auto"/>
      <w:jc w:val="center"/>
      <w:rPr>
        <w:rFonts w:ascii="Arial" w:eastAsia="Times New Roman" w:hAnsi="Arial" w:cs="Arial"/>
        <w:color w:val="FFFFFF" w:themeColor="background1"/>
        <w:spacing w:val="5"/>
        <w:sz w:val="30"/>
        <w:szCs w:val="30"/>
      </w:rPr>
    </w:pPr>
    <w:r w:rsidRPr="00EE5538">
      <w:rPr>
        <w:rFonts w:ascii="Arial" w:hAnsi="Arial"/>
        <w:color w:val="FFFFFF" w:themeColor="background1"/>
        <w:spacing w:val="5"/>
        <w:sz w:val="30"/>
        <w:szCs w:val="30"/>
      </w:rPr>
      <w:t xml:space="preserve">Kit de herramientas de seguridad para cuidados a largo plazo </w:t>
    </w:r>
  </w:p>
  <w:p w:rsidR="00621796" w:rsidRDefault="006217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4F271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8F80EBF"/>
    <w:multiLevelType w:val="hybridMultilevel"/>
    <w:tmpl w:val="E872004A"/>
    <w:lvl w:ilvl="0" w:tplc="82847B44">
      <w:start w:val="1"/>
      <w:numFmt w:val="decimal"/>
      <w:lvlText w:val="%1."/>
      <w:lvlJc w:val="left"/>
      <w:pPr>
        <w:tabs>
          <w:tab w:val="num" w:pos="720"/>
        </w:tabs>
        <w:ind w:left="720" w:hanging="360"/>
      </w:pPr>
    </w:lvl>
    <w:lvl w:ilvl="1" w:tplc="4260BD72" w:tentative="1">
      <w:start w:val="1"/>
      <w:numFmt w:val="decimal"/>
      <w:lvlText w:val="%2."/>
      <w:lvlJc w:val="left"/>
      <w:pPr>
        <w:tabs>
          <w:tab w:val="num" w:pos="1440"/>
        </w:tabs>
        <w:ind w:left="1440" w:hanging="360"/>
      </w:pPr>
    </w:lvl>
    <w:lvl w:ilvl="2" w:tplc="6F94ED40" w:tentative="1">
      <w:start w:val="1"/>
      <w:numFmt w:val="decimal"/>
      <w:lvlText w:val="%3."/>
      <w:lvlJc w:val="left"/>
      <w:pPr>
        <w:tabs>
          <w:tab w:val="num" w:pos="2160"/>
        </w:tabs>
        <w:ind w:left="2160" w:hanging="360"/>
      </w:pPr>
    </w:lvl>
    <w:lvl w:ilvl="3" w:tplc="33EE8196" w:tentative="1">
      <w:start w:val="1"/>
      <w:numFmt w:val="decimal"/>
      <w:lvlText w:val="%4."/>
      <w:lvlJc w:val="left"/>
      <w:pPr>
        <w:tabs>
          <w:tab w:val="num" w:pos="2880"/>
        </w:tabs>
        <w:ind w:left="2880" w:hanging="360"/>
      </w:pPr>
    </w:lvl>
    <w:lvl w:ilvl="4" w:tplc="E55ED178" w:tentative="1">
      <w:start w:val="1"/>
      <w:numFmt w:val="decimal"/>
      <w:lvlText w:val="%5."/>
      <w:lvlJc w:val="left"/>
      <w:pPr>
        <w:tabs>
          <w:tab w:val="num" w:pos="3600"/>
        </w:tabs>
        <w:ind w:left="3600" w:hanging="360"/>
      </w:pPr>
    </w:lvl>
    <w:lvl w:ilvl="5" w:tplc="948420A8" w:tentative="1">
      <w:start w:val="1"/>
      <w:numFmt w:val="decimal"/>
      <w:lvlText w:val="%6."/>
      <w:lvlJc w:val="left"/>
      <w:pPr>
        <w:tabs>
          <w:tab w:val="num" w:pos="4320"/>
        </w:tabs>
        <w:ind w:left="4320" w:hanging="360"/>
      </w:pPr>
    </w:lvl>
    <w:lvl w:ilvl="6" w:tplc="3C9EF20A" w:tentative="1">
      <w:start w:val="1"/>
      <w:numFmt w:val="decimal"/>
      <w:lvlText w:val="%7."/>
      <w:lvlJc w:val="left"/>
      <w:pPr>
        <w:tabs>
          <w:tab w:val="num" w:pos="5040"/>
        </w:tabs>
        <w:ind w:left="5040" w:hanging="360"/>
      </w:pPr>
    </w:lvl>
    <w:lvl w:ilvl="7" w:tplc="EBDE2466" w:tentative="1">
      <w:start w:val="1"/>
      <w:numFmt w:val="decimal"/>
      <w:lvlText w:val="%8."/>
      <w:lvlJc w:val="left"/>
      <w:pPr>
        <w:tabs>
          <w:tab w:val="num" w:pos="5760"/>
        </w:tabs>
        <w:ind w:left="5760" w:hanging="360"/>
      </w:pPr>
    </w:lvl>
    <w:lvl w:ilvl="8" w:tplc="C1E897F8" w:tentative="1">
      <w:start w:val="1"/>
      <w:numFmt w:val="decimal"/>
      <w:lvlText w:val="%9."/>
      <w:lvlJc w:val="left"/>
      <w:pPr>
        <w:tabs>
          <w:tab w:val="num" w:pos="6480"/>
        </w:tabs>
        <w:ind w:left="6480" w:hanging="360"/>
      </w:pPr>
    </w:lvl>
  </w:abstractNum>
  <w:abstractNum w:abstractNumId="2">
    <w:nsid w:val="1A2E0131"/>
    <w:multiLevelType w:val="hybridMultilevel"/>
    <w:tmpl w:val="C0FCF79A"/>
    <w:lvl w:ilvl="0" w:tplc="63564B50">
      <w:start w:val="1"/>
      <w:numFmt w:val="decimal"/>
      <w:lvlText w:val="%1."/>
      <w:lvlJc w:val="left"/>
      <w:pPr>
        <w:tabs>
          <w:tab w:val="num" w:pos="720"/>
        </w:tabs>
        <w:ind w:left="720" w:hanging="360"/>
      </w:pPr>
    </w:lvl>
    <w:lvl w:ilvl="1" w:tplc="A204076E" w:tentative="1">
      <w:start w:val="1"/>
      <w:numFmt w:val="decimal"/>
      <w:lvlText w:val="%2."/>
      <w:lvlJc w:val="left"/>
      <w:pPr>
        <w:tabs>
          <w:tab w:val="num" w:pos="1440"/>
        </w:tabs>
        <w:ind w:left="1440" w:hanging="360"/>
      </w:pPr>
    </w:lvl>
    <w:lvl w:ilvl="2" w:tplc="8278A498" w:tentative="1">
      <w:start w:val="1"/>
      <w:numFmt w:val="decimal"/>
      <w:lvlText w:val="%3."/>
      <w:lvlJc w:val="left"/>
      <w:pPr>
        <w:tabs>
          <w:tab w:val="num" w:pos="2160"/>
        </w:tabs>
        <w:ind w:left="2160" w:hanging="360"/>
      </w:pPr>
    </w:lvl>
    <w:lvl w:ilvl="3" w:tplc="01BE3EC0" w:tentative="1">
      <w:start w:val="1"/>
      <w:numFmt w:val="decimal"/>
      <w:lvlText w:val="%4."/>
      <w:lvlJc w:val="left"/>
      <w:pPr>
        <w:tabs>
          <w:tab w:val="num" w:pos="2880"/>
        </w:tabs>
        <w:ind w:left="2880" w:hanging="360"/>
      </w:pPr>
    </w:lvl>
    <w:lvl w:ilvl="4" w:tplc="D0969832" w:tentative="1">
      <w:start w:val="1"/>
      <w:numFmt w:val="decimal"/>
      <w:lvlText w:val="%5."/>
      <w:lvlJc w:val="left"/>
      <w:pPr>
        <w:tabs>
          <w:tab w:val="num" w:pos="3600"/>
        </w:tabs>
        <w:ind w:left="3600" w:hanging="360"/>
      </w:pPr>
    </w:lvl>
    <w:lvl w:ilvl="5" w:tplc="5DE6D922" w:tentative="1">
      <w:start w:val="1"/>
      <w:numFmt w:val="decimal"/>
      <w:lvlText w:val="%6."/>
      <w:lvlJc w:val="left"/>
      <w:pPr>
        <w:tabs>
          <w:tab w:val="num" w:pos="4320"/>
        </w:tabs>
        <w:ind w:left="4320" w:hanging="360"/>
      </w:pPr>
    </w:lvl>
    <w:lvl w:ilvl="6" w:tplc="90708792" w:tentative="1">
      <w:start w:val="1"/>
      <w:numFmt w:val="decimal"/>
      <w:lvlText w:val="%7."/>
      <w:lvlJc w:val="left"/>
      <w:pPr>
        <w:tabs>
          <w:tab w:val="num" w:pos="5040"/>
        </w:tabs>
        <w:ind w:left="5040" w:hanging="360"/>
      </w:pPr>
    </w:lvl>
    <w:lvl w:ilvl="7" w:tplc="74AC57FE" w:tentative="1">
      <w:start w:val="1"/>
      <w:numFmt w:val="decimal"/>
      <w:lvlText w:val="%8."/>
      <w:lvlJc w:val="left"/>
      <w:pPr>
        <w:tabs>
          <w:tab w:val="num" w:pos="5760"/>
        </w:tabs>
        <w:ind w:left="5760" w:hanging="360"/>
      </w:pPr>
    </w:lvl>
    <w:lvl w:ilvl="8" w:tplc="33FEE034" w:tentative="1">
      <w:start w:val="1"/>
      <w:numFmt w:val="decimal"/>
      <w:lvlText w:val="%9."/>
      <w:lvlJc w:val="left"/>
      <w:pPr>
        <w:tabs>
          <w:tab w:val="num" w:pos="6480"/>
        </w:tabs>
        <w:ind w:left="6480" w:hanging="360"/>
      </w:pPr>
    </w:lvl>
  </w:abstractNum>
  <w:abstractNum w:abstractNumId="3">
    <w:nsid w:val="1FF11D31"/>
    <w:multiLevelType w:val="hybridMultilevel"/>
    <w:tmpl w:val="94948F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B1204DF"/>
    <w:multiLevelType w:val="hybridMultilevel"/>
    <w:tmpl w:val="354AB3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04C1612"/>
    <w:multiLevelType w:val="hybridMultilevel"/>
    <w:tmpl w:val="CE588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E143B8"/>
    <w:multiLevelType w:val="hybridMultilevel"/>
    <w:tmpl w:val="0CD24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EB5AC5"/>
    <w:multiLevelType w:val="hybridMultilevel"/>
    <w:tmpl w:val="E13AE8FC"/>
    <w:lvl w:ilvl="0" w:tplc="3FAE7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D92213"/>
    <w:multiLevelType w:val="hybridMultilevel"/>
    <w:tmpl w:val="74321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98A735E"/>
    <w:multiLevelType w:val="hybridMultilevel"/>
    <w:tmpl w:val="4044B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B397E35"/>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D80A1B"/>
    <w:multiLevelType w:val="hybridMultilevel"/>
    <w:tmpl w:val="A9548F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0"/>
  </w:num>
  <w:num w:numId="3">
    <w:abstractNumId w:val="11"/>
  </w:num>
  <w:num w:numId="4">
    <w:abstractNumId w:val="7"/>
  </w:num>
  <w:num w:numId="5">
    <w:abstractNumId w:val="12"/>
  </w:num>
  <w:num w:numId="6">
    <w:abstractNumId w:val="4"/>
  </w:num>
  <w:num w:numId="7">
    <w:abstractNumId w:val="5"/>
  </w:num>
  <w:num w:numId="8">
    <w:abstractNumId w:val="3"/>
  </w:num>
  <w:num w:numId="9">
    <w:abstractNumId w:val="2"/>
  </w:num>
  <w:num w:numId="10">
    <w:abstractNumId w:val="9"/>
  </w:num>
  <w:num w:numId="11">
    <w:abstractNumId w:val="1"/>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F359C3"/>
    <w:rsid w:val="0000327F"/>
    <w:rsid w:val="000078BA"/>
    <w:rsid w:val="000428E8"/>
    <w:rsid w:val="00046F7A"/>
    <w:rsid w:val="0005542F"/>
    <w:rsid w:val="00056F35"/>
    <w:rsid w:val="00066722"/>
    <w:rsid w:val="00085598"/>
    <w:rsid w:val="000A157A"/>
    <w:rsid w:val="000C4463"/>
    <w:rsid w:val="000D0279"/>
    <w:rsid w:val="000D0406"/>
    <w:rsid w:val="000D3B14"/>
    <w:rsid w:val="00124D59"/>
    <w:rsid w:val="0012750D"/>
    <w:rsid w:val="00180D8C"/>
    <w:rsid w:val="001A15BE"/>
    <w:rsid w:val="001A35C6"/>
    <w:rsid w:val="001A4E30"/>
    <w:rsid w:val="001B5AF7"/>
    <w:rsid w:val="001F1EC3"/>
    <w:rsid w:val="00206043"/>
    <w:rsid w:val="0022397C"/>
    <w:rsid w:val="00244944"/>
    <w:rsid w:val="00252EDC"/>
    <w:rsid w:val="00260BB2"/>
    <w:rsid w:val="00277353"/>
    <w:rsid w:val="00277EBF"/>
    <w:rsid w:val="002872BD"/>
    <w:rsid w:val="0029197B"/>
    <w:rsid w:val="002A7787"/>
    <w:rsid w:val="002C14C8"/>
    <w:rsid w:val="002C771E"/>
    <w:rsid w:val="002D57BF"/>
    <w:rsid w:val="002E248E"/>
    <w:rsid w:val="002F54A7"/>
    <w:rsid w:val="00314875"/>
    <w:rsid w:val="00314C32"/>
    <w:rsid w:val="0032024A"/>
    <w:rsid w:val="0036516C"/>
    <w:rsid w:val="00395381"/>
    <w:rsid w:val="003A1AE9"/>
    <w:rsid w:val="003B32F4"/>
    <w:rsid w:val="003C5E7F"/>
    <w:rsid w:val="003E386C"/>
    <w:rsid w:val="004125CE"/>
    <w:rsid w:val="00414497"/>
    <w:rsid w:val="004356CE"/>
    <w:rsid w:val="00436E2D"/>
    <w:rsid w:val="004572AA"/>
    <w:rsid w:val="004700B7"/>
    <w:rsid w:val="00472E8E"/>
    <w:rsid w:val="00475845"/>
    <w:rsid w:val="00492EFE"/>
    <w:rsid w:val="004B5107"/>
    <w:rsid w:val="004C04D8"/>
    <w:rsid w:val="004C6F52"/>
    <w:rsid w:val="004E4825"/>
    <w:rsid w:val="004F0480"/>
    <w:rsid w:val="004F483E"/>
    <w:rsid w:val="005274A2"/>
    <w:rsid w:val="00537B26"/>
    <w:rsid w:val="00554388"/>
    <w:rsid w:val="005572BB"/>
    <w:rsid w:val="00573BD0"/>
    <w:rsid w:val="005844CB"/>
    <w:rsid w:val="0058522B"/>
    <w:rsid w:val="005947EB"/>
    <w:rsid w:val="0059523A"/>
    <w:rsid w:val="00596D4F"/>
    <w:rsid w:val="005B0CD5"/>
    <w:rsid w:val="005D0889"/>
    <w:rsid w:val="005E4CFE"/>
    <w:rsid w:val="005F4812"/>
    <w:rsid w:val="00606506"/>
    <w:rsid w:val="00606904"/>
    <w:rsid w:val="00621796"/>
    <w:rsid w:val="006325A2"/>
    <w:rsid w:val="00633A0F"/>
    <w:rsid w:val="0063435E"/>
    <w:rsid w:val="00636D30"/>
    <w:rsid w:val="00652632"/>
    <w:rsid w:val="00670A59"/>
    <w:rsid w:val="00687408"/>
    <w:rsid w:val="006B4073"/>
    <w:rsid w:val="006C20C0"/>
    <w:rsid w:val="006C3B4A"/>
    <w:rsid w:val="006D3BF9"/>
    <w:rsid w:val="006D596F"/>
    <w:rsid w:val="006D654C"/>
    <w:rsid w:val="006D78E9"/>
    <w:rsid w:val="006E0A9C"/>
    <w:rsid w:val="006E1D94"/>
    <w:rsid w:val="006E4C8C"/>
    <w:rsid w:val="006E76B9"/>
    <w:rsid w:val="007041FB"/>
    <w:rsid w:val="00706E8E"/>
    <w:rsid w:val="0073230A"/>
    <w:rsid w:val="00754826"/>
    <w:rsid w:val="00754B71"/>
    <w:rsid w:val="00755E57"/>
    <w:rsid w:val="00766127"/>
    <w:rsid w:val="00783419"/>
    <w:rsid w:val="00794D7C"/>
    <w:rsid w:val="00795968"/>
    <w:rsid w:val="007A20BD"/>
    <w:rsid w:val="007A4E86"/>
    <w:rsid w:val="007A71DA"/>
    <w:rsid w:val="007D7796"/>
    <w:rsid w:val="007E57BA"/>
    <w:rsid w:val="00813331"/>
    <w:rsid w:val="008177EC"/>
    <w:rsid w:val="008269B9"/>
    <w:rsid w:val="008500C8"/>
    <w:rsid w:val="00875A41"/>
    <w:rsid w:val="008906FA"/>
    <w:rsid w:val="008B586B"/>
    <w:rsid w:val="008D450E"/>
    <w:rsid w:val="008E45D9"/>
    <w:rsid w:val="00924AA7"/>
    <w:rsid w:val="009379AE"/>
    <w:rsid w:val="00946167"/>
    <w:rsid w:val="0097517D"/>
    <w:rsid w:val="009A1435"/>
    <w:rsid w:val="009A4EA7"/>
    <w:rsid w:val="009A6F6E"/>
    <w:rsid w:val="009B0728"/>
    <w:rsid w:val="009B2D02"/>
    <w:rsid w:val="009B4B3F"/>
    <w:rsid w:val="009C65AA"/>
    <w:rsid w:val="009F30D6"/>
    <w:rsid w:val="00A23D79"/>
    <w:rsid w:val="00A56AEE"/>
    <w:rsid w:val="00A63116"/>
    <w:rsid w:val="00A71E96"/>
    <w:rsid w:val="00AA67F7"/>
    <w:rsid w:val="00AD0796"/>
    <w:rsid w:val="00AD08A8"/>
    <w:rsid w:val="00AF2411"/>
    <w:rsid w:val="00B06536"/>
    <w:rsid w:val="00B143E5"/>
    <w:rsid w:val="00B33DFD"/>
    <w:rsid w:val="00B472BA"/>
    <w:rsid w:val="00B47C9B"/>
    <w:rsid w:val="00B57A47"/>
    <w:rsid w:val="00B672A7"/>
    <w:rsid w:val="00BA0AB2"/>
    <w:rsid w:val="00BB2261"/>
    <w:rsid w:val="00BC031D"/>
    <w:rsid w:val="00BE69FD"/>
    <w:rsid w:val="00BE7857"/>
    <w:rsid w:val="00C068AB"/>
    <w:rsid w:val="00C1408A"/>
    <w:rsid w:val="00C169BF"/>
    <w:rsid w:val="00C25A60"/>
    <w:rsid w:val="00C42810"/>
    <w:rsid w:val="00C53CCE"/>
    <w:rsid w:val="00C57133"/>
    <w:rsid w:val="00C63E50"/>
    <w:rsid w:val="00C70156"/>
    <w:rsid w:val="00C802D6"/>
    <w:rsid w:val="00C854D5"/>
    <w:rsid w:val="00C937C0"/>
    <w:rsid w:val="00C94761"/>
    <w:rsid w:val="00CA1BD2"/>
    <w:rsid w:val="00CA2F6D"/>
    <w:rsid w:val="00CC08B8"/>
    <w:rsid w:val="00CD59A5"/>
    <w:rsid w:val="00CE0506"/>
    <w:rsid w:val="00CF0634"/>
    <w:rsid w:val="00CF0A8B"/>
    <w:rsid w:val="00CF5303"/>
    <w:rsid w:val="00CF7E8C"/>
    <w:rsid w:val="00D0761B"/>
    <w:rsid w:val="00D24953"/>
    <w:rsid w:val="00D25A00"/>
    <w:rsid w:val="00D3536E"/>
    <w:rsid w:val="00D517EF"/>
    <w:rsid w:val="00D52128"/>
    <w:rsid w:val="00D70D4D"/>
    <w:rsid w:val="00D72EB6"/>
    <w:rsid w:val="00D73357"/>
    <w:rsid w:val="00D73A21"/>
    <w:rsid w:val="00D832B0"/>
    <w:rsid w:val="00D84CEC"/>
    <w:rsid w:val="00D96D17"/>
    <w:rsid w:val="00DA3A6D"/>
    <w:rsid w:val="00DC13E6"/>
    <w:rsid w:val="00DC210A"/>
    <w:rsid w:val="00DF5987"/>
    <w:rsid w:val="00E75428"/>
    <w:rsid w:val="00E77B62"/>
    <w:rsid w:val="00E80436"/>
    <w:rsid w:val="00EB06C5"/>
    <w:rsid w:val="00EB242A"/>
    <w:rsid w:val="00EC7745"/>
    <w:rsid w:val="00EE3B37"/>
    <w:rsid w:val="00EE5538"/>
    <w:rsid w:val="00EE60DF"/>
    <w:rsid w:val="00F04AAB"/>
    <w:rsid w:val="00F1412C"/>
    <w:rsid w:val="00F20434"/>
    <w:rsid w:val="00F21848"/>
    <w:rsid w:val="00F359C3"/>
    <w:rsid w:val="00F4621F"/>
    <w:rsid w:val="00F63F1E"/>
    <w:rsid w:val="00F829E0"/>
    <w:rsid w:val="00F87EFA"/>
    <w:rsid w:val="00FB4DB5"/>
    <w:rsid w:val="00FD1C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rPr>
  </w:style>
  <w:style w:type="paragraph" w:styleId="Heading1">
    <w:name w:val="heading 1"/>
    <w:basedOn w:val="Normal"/>
    <w:next w:val="Normal"/>
    <w:link w:val="Heading1Char"/>
    <w:qFormat/>
    <w:rsid w:val="00244944"/>
    <w:pPr>
      <w:spacing w:after="0" w:line="240" w:lineRule="auto"/>
      <w:contextualSpacing/>
      <w:outlineLvl w:val="0"/>
    </w:pPr>
    <w:rPr>
      <w:rFonts w:ascii="Arial" w:eastAsia="Times New Roman" w:hAnsi="Arial"/>
      <w:b/>
      <w:bCs/>
      <w:szCs w:val="28"/>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44944"/>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2A7787"/>
    <w:pPr>
      <w:spacing w:line="240" w:lineRule="auto"/>
      <w:contextualSpacing/>
      <w:jc w:val="center"/>
    </w:pPr>
    <w:rPr>
      <w:rFonts w:ascii="Arial" w:eastAsia="Times New Roman" w:hAnsi="Arial"/>
      <w:b/>
      <w:spacing w:val="5"/>
      <w:szCs w:val="52"/>
    </w:rPr>
  </w:style>
  <w:style w:type="character" w:customStyle="1" w:styleId="TitleChar">
    <w:name w:val="Title Char"/>
    <w:link w:val="Title"/>
    <w:uiPriority w:val="10"/>
    <w:rsid w:val="002A7787"/>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nhideWhenUsed/>
    <w:rsid w:val="00F359C3"/>
    <w:pPr>
      <w:tabs>
        <w:tab w:val="center" w:pos="4680"/>
        <w:tab w:val="right" w:pos="9360"/>
      </w:tabs>
      <w:spacing w:after="0" w:line="240" w:lineRule="auto"/>
    </w:pPr>
    <w:rPr>
      <w:szCs w:val="20"/>
    </w:rPr>
  </w:style>
  <w:style w:type="character" w:customStyle="1" w:styleId="FooterChar">
    <w:name w:val="Footer Char"/>
    <w:link w:val="Footer"/>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s-ES"/>
    </w:rPr>
  </w:style>
  <w:style w:type="character" w:customStyle="1" w:styleId="GillSansSlideTitlesChar">
    <w:name w:val="Gill Sans Slide Titles Char"/>
    <w:link w:val="GillSansSlideTitles"/>
    <w:rsid w:val="008269B9"/>
    <w:rPr>
      <w:rFonts w:ascii="Gill Sans MT" w:hAnsi="Gill Sans MT"/>
      <w:b/>
      <w:i/>
      <w:sz w:val="32"/>
      <w:szCs w:val="32"/>
      <w:lang w:bidi="es-ES"/>
    </w:rPr>
  </w:style>
  <w:style w:type="character" w:styleId="Hyperlink">
    <w:name w:val="Hyperlink"/>
    <w:unhideWhenUsed/>
    <w:rsid w:val="000C4463"/>
    <w:rPr>
      <w:color w:val="0000FF"/>
      <w:u w:val="single"/>
    </w:rPr>
  </w:style>
  <w:style w:type="character" w:styleId="CommentReference">
    <w:name w:val="annotation reference"/>
    <w:uiPriority w:val="99"/>
    <w:semiHidden/>
    <w:unhideWhenUsed/>
    <w:rsid w:val="00CE0506"/>
    <w:rPr>
      <w:sz w:val="16"/>
      <w:szCs w:val="16"/>
    </w:rPr>
  </w:style>
  <w:style w:type="paragraph" w:styleId="CommentText">
    <w:name w:val="annotation text"/>
    <w:basedOn w:val="Normal"/>
    <w:link w:val="CommentTextChar"/>
    <w:uiPriority w:val="99"/>
    <w:semiHidden/>
    <w:unhideWhenUsed/>
    <w:rsid w:val="00CE0506"/>
    <w:rPr>
      <w:sz w:val="20"/>
      <w:szCs w:val="20"/>
    </w:rPr>
  </w:style>
  <w:style w:type="character" w:customStyle="1" w:styleId="CommentTextChar">
    <w:name w:val="Comment Text Char"/>
    <w:link w:val="CommentText"/>
    <w:uiPriority w:val="99"/>
    <w:semiHidden/>
    <w:rsid w:val="00CE0506"/>
    <w:rPr>
      <w:rFonts w:ascii="Times New Roman" w:hAnsi="Times New Roman"/>
      <w:lang w:bidi="es-ES"/>
    </w:rPr>
  </w:style>
  <w:style w:type="paragraph" w:styleId="CommentSubject">
    <w:name w:val="annotation subject"/>
    <w:basedOn w:val="CommentText"/>
    <w:next w:val="CommentText"/>
    <w:link w:val="CommentSubjectChar"/>
    <w:uiPriority w:val="99"/>
    <w:semiHidden/>
    <w:unhideWhenUsed/>
    <w:rsid w:val="00CE0506"/>
    <w:rPr>
      <w:b/>
      <w:bCs/>
    </w:rPr>
  </w:style>
  <w:style w:type="character" w:customStyle="1" w:styleId="CommentSubjectChar">
    <w:name w:val="Comment Subject Char"/>
    <w:link w:val="CommentSubject"/>
    <w:uiPriority w:val="99"/>
    <w:semiHidden/>
    <w:rsid w:val="00CE0506"/>
    <w:rPr>
      <w:rFonts w:ascii="Times New Roman" w:hAnsi="Times New Roman"/>
      <w:b/>
      <w:bCs/>
      <w:lang w:bidi="es-ES"/>
    </w:rPr>
  </w:style>
  <w:style w:type="paragraph" w:styleId="Revision">
    <w:name w:val="Revision"/>
    <w:hidden/>
    <w:uiPriority w:val="99"/>
    <w:semiHidden/>
    <w:rsid w:val="00CF0A8B"/>
    <w:rPr>
      <w:rFonts w:ascii="Times New Roman" w:hAnsi="Times New Roman"/>
      <w:sz w:val="24"/>
      <w:szCs w:val="22"/>
    </w:rPr>
  </w:style>
  <w:style w:type="character" w:styleId="FollowedHyperlink">
    <w:name w:val="FollowedHyperlink"/>
    <w:basedOn w:val="DefaultParagraphFont"/>
    <w:uiPriority w:val="99"/>
    <w:semiHidden/>
    <w:unhideWhenUsed/>
    <w:rsid w:val="002A7787"/>
    <w:rPr>
      <w:color w:val="800080" w:themeColor="followedHyperlink"/>
      <w:u w:val="single"/>
    </w:rPr>
  </w:style>
  <w:style w:type="paragraph" w:styleId="NoSpacing">
    <w:name w:val="No Spacing"/>
    <w:uiPriority w:val="1"/>
    <w:qFormat/>
    <w:rsid w:val="00314C32"/>
    <w:rPr>
      <w:rFonts w:ascii="Times New Roman" w:hAnsi="Times New Roman"/>
      <w:sz w:val="24"/>
      <w:szCs w:val="22"/>
    </w:rPr>
  </w:style>
  <w:style w:type="paragraph" w:styleId="ListParagraph">
    <w:name w:val="List Paragraph"/>
    <w:basedOn w:val="Normal"/>
    <w:uiPriority w:val="34"/>
    <w:qFormat/>
    <w:rsid w:val="00472E8E"/>
    <w:pPr>
      <w:ind w:left="720"/>
      <w:contextualSpacing/>
    </w:pPr>
  </w:style>
  <w:style w:type="character" w:styleId="PageNumber">
    <w:name w:val="page number"/>
    <w:basedOn w:val="DefaultParagraphFont"/>
    <w:rsid w:val="00AF2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40743194">
          <w:marLeft w:val="806"/>
          <w:marRight w:val="0"/>
          <w:marTop w:val="106"/>
          <w:marBottom w:val="0"/>
          <w:divBdr>
            <w:top w:val="none" w:sz="0" w:space="0" w:color="auto"/>
            <w:left w:val="none" w:sz="0" w:space="0" w:color="auto"/>
            <w:bottom w:val="none" w:sz="0" w:space="0" w:color="auto"/>
            <w:right w:val="none" w:sz="0" w:space="0" w:color="auto"/>
          </w:divBdr>
        </w:div>
      </w:divsChild>
    </w:div>
    <w:div w:id="1103723743">
      <w:bodyDiv w:val="1"/>
      <w:marLeft w:val="0"/>
      <w:marRight w:val="0"/>
      <w:marTop w:val="0"/>
      <w:marBottom w:val="0"/>
      <w:divBdr>
        <w:top w:val="none" w:sz="0" w:space="0" w:color="auto"/>
        <w:left w:val="none" w:sz="0" w:space="0" w:color="auto"/>
        <w:bottom w:val="none" w:sz="0" w:space="0" w:color="auto"/>
        <w:right w:val="none" w:sz="0" w:space="0" w:color="auto"/>
      </w:divBdr>
      <w:divsChild>
        <w:div w:id="100683610">
          <w:marLeft w:val="806"/>
          <w:marRight w:val="0"/>
          <w:marTop w:val="106"/>
          <w:marBottom w:val="0"/>
          <w:divBdr>
            <w:top w:val="none" w:sz="0" w:space="0" w:color="auto"/>
            <w:left w:val="none" w:sz="0" w:space="0" w:color="auto"/>
            <w:bottom w:val="none" w:sz="0" w:space="0" w:color="auto"/>
            <w:right w:val="none" w:sz="0" w:space="0" w:color="auto"/>
          </w:divBdr>
        </w:div>
      </w:divsChild>
    </w:div>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1527913421">
      <w:bodyDiv w:val="1"/>
      <w:marLeft w:val="0"/>
      <w:marRight w:val="0"/>
      <w:marTop w:val="0"/>
      <w:marBottom w:val="0"/>
      <w:divBdr>
        <w:top w:val="none" w:sz="0" w:space="0" w:color="auto"/>
        <w:left w:val="none" w:sz="0" w:space="0" w:color="auto"/>
        <w:bottom w:val="none" w:sz="0" w:space="0" w:color="auto"/>
        <w:right w:val="none" w:sz="0" w:space="0" w:color="auto"/>
      </w:divBdr>
      <w:divsChild>
        <w:div w:id="117799043">
          <w:marLeft w:val="806"/>
          <w:marRight w:val="0"/>
          <w:marTop w:val="106"/>
          <w:marBottom w:val="0"/>
          <w:divBdr>
            <w:top w:val="none" w:sz="0" w:space="0" w:color="auto"/>
            <w:left w:val="none" w:sz="0" w:space="0" w:color="auto"/>
            <w:bottom w:val="none" w:sz="0" w:space="0" w:color="auto"/>
            <w:right w:val="none" w:sz="0" w:space="0" w:color="auto"/>
          </w:divBdr>
        </w:div>
      </w:divsChild>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FFEAF3-4576-451A-9AED-B8231223D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3099</CharactersWithSpaces>
  <SharedDoc>false</SharedDoc>
  <HLinks>
    <vt:vector size="6" baseType="variant">
      <vt:variant>
        <vt:i4>5373966</vt:i4>
      </vt:variant>
      <vt:variant>
        <vt:i4>0</vt:i4>
      </vt:variant>
      <vt:variant>
        <vt:i4>0</vt:i4>
      </vt:variant>
      <vt:variant>
        <vt:i4>5</vt:i4>
      </vt:variant>
      <vt:variant>
        <vt:lpwstr>http://www.safercare.net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Heidenrich OCKT</cp:lastModifiedBy>
  <cp:revision>3</cp:revision>
  <cp:lastPrinted>2015-01-21T20:34:00Z</cp:lastPrinted>
  <dcterms:created xsi:type="dcterms:W3CDTF">2016-07-04T14:41:00Z</dcterms:created>
  <dcterms:modified xsi:type="dcterms:W3CDTF">2017-03-08T20:37:00Z</dcterms:modified>
</cp:coreProperties>
</file>