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EC0D0C" w:rsidP="00FC230D">
      <w:pPr>
        <w:pStyle w:val="Heading3"/>
      </w:pPr>
      <w:bookmarkStart w:id="0" w:name="_1C:_Leadership_Support"/>
      <w:bookmarkStart w:id="1" w:name="_Toc332135139"/>
      <w:bookmarkStart w:id="2" w:name="_Toc332373574"/>
      <w:bookmarkStart w:id="3" w:name="_Toc334978044"/>
      <w:bookmarkStart w:id="4" w:name="_Toc335210879"/>
      <w:bookmarkStart w:id="5" w:name="_Toc336583054"/>
      <w:bookmarkStart w:id="6" w:name="_Toc337028910"/>
      <w:bookmarkStart w:id="7" w:name="_Toc337981973"/>
      <w:bookmarkStart w:id="8" w:name="_Toc340757817"/>
      <w:bookmarkEnd w:id="0"/>
      <w:r>
        <w:t>1</w:t>
      </w:r>
      <w:r w:rsidR="00142607">
        <w:t>C: Leadership Support Assessment</w:t>
      </w:r>
      <w:bookmarkEnd w:id="1"/>
      <w:bookmarkEnd w:id="2"/>
      <w:bookmarkEnd w:id="3"/>
      <w:bookmarkEnd w:id="4"/>
      <w:bookmarkEnd w:id="5"/>
      <w:bookmarkEnd w:id="6"/>
      <w:bookmarkEnd w:id="7"/>
      <w:bookmarkEnd w:id="8"/>
    </w:p>
    <w:p w:rsidR="008361C6" w:rsidRDefault="008361C6" w:rsidP="008361C6">
      <w:pPr>
        <w:pBdr>
          <w:top w:val="single" w:sz="4" w:space="1" w:color="auto"/>
          <w:left w:val="single" w:sz="4" w:space="4" w:color="auto"/>
          <w:bottom w:val="single" w:sz="4" w:space="1" w:color="auto"/>
          <w:right w:val="single" w:sz="4" w:space="4" w:color="auto"/>
        </w:pBdr>
      </w:pPr>
      <w:r>
        <w:rPr>
          <w:b/>
        </w:rPr>
        <w:t>Background:</w:t>
      </w:r>
      <w:r>
        <w:t xml:space="preserve"> This tool can be used to assess senior leadership support for implementing a fall prevention program. For more information on who is part of the senior leadership team, see the resource box in </w:t>
      </w:r>
      <w:r w:rsidRPr="00063392">
        <w:t>section 1.3</w:t>
      </w:r>
      <w:r>
        <w:t xml:space="preserve"> of the toolkit text.</w:t>
      </w:r>
    </w:p>
    <w:p w:rsidR="008361C6" w:rsidRDefault="008361C6" w:rsidP="008361C6">
      <w:pPr>
        <w:pBdr>
          <w:top w:val="single" w:sz="4" w:space="1" w:color="auto"/>
          <w:left w:val="single" w:sz="4" w:space="4" w:color="auto"/>
          <w:bottom w:val="single" w:sz="4" w:space="1" w:color="auto"/>
          <w:right w:val="single" w:sz="4" w:space="4" w:color="auto"/>
        </w:pBdr>
        <w:rPr>
          <w:b/>
        </w:rPr>
      </w:pPr>
      <w:r>
        <w:rPr>
          <w:b/>
        </w:rPr>
        <w:t>Reference:</w:t>
      </w:r>
      <w:r>
        <w:t xml:space="preserve"> Developed by Falls Toolkit Research Team</w:t>
      </w:r>
      <w:r w:rsidRPr="00E52D22">
        <w:t xml:space="preserve"> based on </w:t>
      </w:r>
      <w:r>
        <w:t xml:space="preserve">the Ontario Agency for Health Protection and Promotion’s Facility-Level Situation Assessment: </w:t>
      </w:r>
      <w:hyperlink r:id="rId7" w:history="1">
        <w:r w:rsidRPr="00236CD8">
          <w:rPr>
            <w:rStyle w:val="Hyperlink"/>
          </w:rPr>
          <w:t>www.oahpp.ca/services/documents/jcyh/jcyh-for-hosptials/tools-for-implementation/facility-level-situation-assessment.pdf</w:t>
        </w:r>
      </w:hyperlink>
      <w:r>
        <w:t>.</w:t>
      </w:r>
    </w:p>
    <w:p w:rsidR="008361C6" w:rsidRDefault="008361C6" w:rsidP="008361C6">
      <w:pPr>
        <w:pBdr>
          <w:top w:val="single" w:sz="4" w:space="1" w:color="auto"/>
          <w:left w:val="single" w:sz="4" w:space="4" w:color="auto"/>
          <w:bottom w:val="single" w:sz="4" w:space="1" w:color="auto"/>
          <w:right w:val="single" w:sz="4" w:space="4" w:color="auto"/>
        </w:pBdr>
      </w:pPr>
      <w:r>
        <w:rPr>
          <w:b/>
        </w:rPr>
        <w:t>How to use this tool:</w:t>
      </w:r>
      <w:r>
        <w:t xml:space="preserve"> Complete the checklist. This assessment is best suited for hospital supervisors, managers, and administrators.</w:t>
      </w:r>
    </w:p>
    <w:p w:rsidR="008361C6" w:rsidRDefault="008361C6" w:rsidP="008361C6">
      <w:pPr>
        <w:pBdr>
          <w:top w:val="single" w:sz="4" w:space="1" w:color="auto"/>
          <w:left w:val="single" w:sz="4" w:space="4" w:color="auto"/>
          <w:bottom w:val="single" w:sz="4" w:space="1" w:color="auto"/>
          <w:right w:val="single" w:sz="4" w:space="4" w:color="auto"/>
        </w:pBdr>
        <w:rPr>
          <w:b/>
        </w:rPr>
      </w:pPr>
      <w:r>
        <w:t>Review the responses to ascertain the level of leadership support. If the response to several of these items is “no,” it could threaten the success of your improvement process. Analyze the areas where support is not evident and take steps to inform leadership about the urgency to change.</w:t>
      </w:r>
    </w:p>
    <w:p w:rsidR="00142607" w:rsidRDefault="00193672" w:rsidP="003D6BBB">
      <w:pPr>
        <w:pStyle w:val="Heading5"/>
        <w:spacing w:before="240"/>
      </w:pPr>
      <w:bookmarkStart w:id="9" w:name="_Leadership_Support_Assessment"/>
      <w:bookmarkEnd w:id="9"/>
      <w:r>
        <w:t>Leadership Support Assessment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tblPr>
      <w:tblGrid>
        <w:gridCol w:w="7336"/>
        <w:gridCol w:w="1012"/>
        <w:gridCol w:w="1012"/>
      </w:tblGrid>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Yes</w:t>
            </w:r>
          </w:p>
        </w:tc>
        <w:tc>
          <w:tcPr>
            <w:tcW w:w="100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No</w:t>
            </w: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Patient safety is clearly articulated in the organization’s strategic plan</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Someone in senior management is in charge of patient safety</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The hospital’s board of trustees is committed to improving patient safety</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Medical staff leaders are integrated into patient safety programs</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There is a dedicated budget allocated for patient safety activities</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The budget includes funding for education and training on patient safety issues such as fall prevention</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Improved fall prevention is a priority within the facility</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The facility has implemented a fall prevention policy</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Current fall prevention goals are being addressed</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There are visible role models/champions for fall prevention</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bl>
    <w:p w:rsidR="00BE2723" w:rsidRPr="0057133F" w:rsidRDefault="00BE2723" w:rsidP="006E6483">
      <w:pPr>
        <w:pStyle w:val="Heading3"/>
        <w:rPr>
          <w:sz w:val="20"/>
          <w:szCs w:val="20"/>
        </w:rPr>
      </w:pPr>
      <w:bookmarkStart w:id="10" w:name="_1D:_Business_Case"/>
      <w:bookmarkEnd w:id="10"/>
    </w:p>
    <w:sectPr w:rsidR="00BE2723" w:rsidRPr="0057133F" w:rsidSect="006E648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3392"/>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252"/>
    <w:rsid w:val="001C3C51"/>
    <w:rsid w:val="001C4799"/>
    <w:rsid w:val="001C4F83"/>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239E"/>
    <w:rsid w:val="002F369E"/>
    <w:rsid w:val="002F674C"/>
    <w:rsid w:val="002F7555"/>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2349"/>
    <w:rsid w:val="0042421C"/>
    <w:rsid w:val="0042577B"/>
    <w:rsid w:val="004258B7"/>
    <w:rsid w:val="0042641F"/>
    <w:rsid w:val="00430243"/>
    <w:rsid w:val="00431C43"/>
    <w:rsid w:val="00432972"/>
    <w:rsid w:val="00432B2F"/>
    <w:rsid w:val="004339BC"/>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3513"/>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6483"/>
    <w:rsid w:val="006E7E90"/>
    <w:rsid w:val="006F00AA"/>
    <w:rsid w:val="006F6DEF"/>
    <w:rsid w:val="006F71AF"/>
    <w:rsid w:val="006F7BE9"/>
    <w:rsid w:val="006F7D32"/>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5B9E"/>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255C"/>
    <w:rsid w:val="00C8290F"/>
    <w:rsid w:val="00C83CCA"/>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0E6"/>
    <w:rsid w:val="00DA43FE"/>
    <w:rsid w:val="00DA63FD"/>
    <w:rsid w:val="00DB03A9"/>
    <w:rsid w:val="00DB0A44"/>
    <w:rsid w:val="00DB1814"/>
    <w:rsid w:val="00DB2A88"/>
    <w:rsid w:val="00DB303D"/>
    <w:rsid w:val="00DB3829"/>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996"/>
    <w:rsid w:val="00EE57D5"/>
    <w:rsid w:val="00EE7C4C"/>
    <w:rsid w:val="00EF1AF2"/>
    <w:rsid w:val="00EF41E3"/>
    <w:rsid w:val="00EF5FE6"/>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619F"/>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hpp.ca/services/documents/jcyh/jcyh-for-hosptials/tools-for-implementation/facility-level-situation-assess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2013-01-28T23:14:00Z</dcterms:created>
  <dcterms:modified xsi:type="dcterms:W3CDTF">2013-01-28T23:14:00Z</dcterms:modified>
</cp:coreProperties>
</file>